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4F917" w14:textId="77777777" w:rsidR="008F7FAD" w:rsidRPr="00B73F28" w:rsidRDefault="008F7FAD" w:rsidP="008F7FAD">
      <w:pPr>
        <w:spacing w:after="60"/>
        <w:ind w:left="720"/>
        <w:jc w:val="right"/>
        <w:rPr>
          <w:i/>
        </w:rPr>
      </w:pPr>
      <w:r>
        <w:rPr>
          <w:i/>
        </w:rPr>
        <w:t>Modulo richiesta assegno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830"/>
        <w:gridCol w:w="4960"/>
        <w:gridCol w:w="1500"/>
      </w:tblGrid>
      <w:tr w:rsidR="008F7FAD" w:rsidRPr="00F70053" w14:paraId="4B257B52" w14:textId="77777777" w:rsidTr="009B3ABC">
        <w:tc>
          <w:tcPr>
            <w:tcW w:w="2338" w:type="dxa"/>
            <w:shd w:val="clear" w:color="auto" w:fill="auto"/>
            <w:vAlign w:val="center"/>
          </w:tcPr>
          <w:p w14:paraId="1E24CEAF" w14:textId="77777777" w:rsidR="008F7FAD" w:rsidRPr="00F70053" w:rsidRDefault="008F7FAD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br w:type="page"/>
            </w:r>
            <w:r w:rsidRPr="00F70053">
              <w:rPr>
                <w:b/>
                <w:sz w:val="28"/>
                <w:szCs w:val="28"/>
              </w:rPr>
              <w:br w:type="page"/>
            </w:r>
            <w:r w:rsidRPr="00F70053">
              <w:rPr>
                <w:b/>
                <w:sz w:val="28"/>
                <w:szCs w:val="28"/>
              </w:rPr>
              <w:br w:type="page"/>
            </w:r>
            <w:r w:rsidRPr="00F70053">
              <w:rPr>
                <w:b/>
                <w:sz w:val="28"/>
                <w:szCs w:val="28"/>
              </w:rPr>
              <w:br w:type="page"/>
              <w:t>TUTOR</w:t>
            </w:r>
          </w:p>
        </w:tc>
        <w:tc>
          <w:tcPr>
            <w:tcW w:w="7290" w:type="dxa"/>
            <w:gridSpan w:val="3"/>
            <w:shd w:val="clear" w:color="auto" w:fill="auto"/>
            <w:vAlign w:val="center"/>
          </w:tcPr>
          <w:p w14:paraId="0519D5A3" w14:textId="292E37D1" w:rsidR="008F7FAD" w:rsidRPr="00F70053" w:rsidRDefault="002372C6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Uberto Pagotto</w:t>
            </w:r>
          </w:p>
        </w:tc>
      </w:tr>
      <w:tr w:rsidR="008F7FAD" w:rsidRPr="00F70053" w14:paraId="0459E4D7" w14:textId="77777777" w:rsidTr="009B3ABC">
        <w:tc>
          <w:tcPr>
            <w:tcW w:w="2338" w:type="dxa"/>
            <w:shd w:val="clear" w:color="auto" w:fill="auto"/>
            <w:vAlign w:val="center"/>
          </w:tcPr>
          <w:p w14:paraId="77F8DFF6" w14:textId="77777777" w:rsidR="008F7FAD" w:rsidRDefault="008F7FAD" w:rsidP="00945AFC">
            <w:pPr>
              <w:spacing w:before="60" w:after="60"/>
              <w:jc w:val="both"/>
            </w:pPr>
            <w:r>
              <w:t>Fascia VRA</w:t>
            </w:r>
          </w:p>
        </w:tc>
        <w:tc>
          <w:tcPr>
            <w:tcW w:w="5790" w:type="dxa"/>
            <w:gridSpan w:val="2"/>
            <w:shd w:val="clear" w:color="auto" w:fill="auto"/>
            <w:vAlign w:val="center"/>
          </w:tcPr>
          <w:p w14:paraId="21B4E524" w14:textId="77777777" w:rsidR="008F7FAD" w:rsidRPr="00FE6CF6" w:rsidRDefault="008F7FAD" w:rsidP="00945AFC">
            <w:pPr>
              <w:spacing w:before="60" w:after="60"/>
              <w:jc w:val="both"/>
              <w:rPr>
                <w:b/>
                <w:sz w:val="14"/>
                <w:szCs w:val="28"/>
                <w:u w:val="single"/>
              </w:rPr>
            </w:pPr>
            <w:r w:rsidRPr="008F7FAD">
              <w:rPr>
                <w:b/>
                <w:color w:val="548DD4"/>
                <w:sz w:val="14"/>
                <w:szCs w:val="28"/>
                <w:u w:val="single"/>
              </w:rPr>
              <w:t>(compilazione a cura della Giunta)</w:t>
            </w:r>
          </w:p>
        </w:tc>
        <w:tc>
          <w:tcPr>
            <w:tcW w:w="1500" w:type="dxa"/>
            <w:shd w:val="pct10" w:color="FFFF00" w:fill="auto"/>
            <w:vAlign w:val="center"/>
          </w:tcPr>
          <w:p w14:paraId="33C76AD3" w14:textId="77777777" w:rsidR="008F7FAD" w:rsidRPr="00E71E71" w:rsidRDefault="008F7FAD" w:rsidP="00945AFC">
            <w:pPr>
              <w:spacing w:before="60" w:after="60"/>
              <w:jc w:val="both"/>
              <w:rPr>
                <w:i/>
              </w:rPr>
            </w:pPr>
            <w:r w:rsidRPr="00E71E71">
              <w:rPr>
                <w:i/>
              </w:rPr>
              <w:t>Punti</w:t>
            </w:r>
            <w:r>
              <w:rPr>
                <w:i/>
              </w:rPr>
              <w:t xml:space="preserve"> </w:t>
            </w:r>
          </w:p>
        </w:tc>
      </w:tr>
      <w:tr w:rsidR="008F7FAD" w:rsidRPr="00F70053" w14:paraId="5C550576" w14:textId="77777777" w:rsidTr="009B3ABC">
        <w:tc>
          <w:tcPr>
            <w:tcW w:w="8128" w:type="dxa"/>
            <w:gridSpan w:val="3"/>
            <w:shd w:val="clear" w:color="auto" w:fill="auto"/>
            <w:vAlign w:val="center"/>
          </w:tcPr>
          <w:p w14:paraId="07ACCAD3" w14:textId="77777777" w:rsidR="008F7FAD" w:rsidRPr="002E1FF5" w:rsidRDefault="008F7FAD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2E1FF5">
              <w:rPr>
                <w:b/>
                <w:sz w:val="28"/>
                <w:szCs w:val="28"/>
              </w:rPr>
              <w:t xml:space="preserve">PRODUZIONE SCIENTIFICA ASSEGNISTI </w:t>
            </w:r>
            <w:r w:rsidRPr="0083559D">
              <w:rPr>
                <w:b/>
                <w:sz w:val="28"/>
                <w:szCs w:val="28"/>
                <w:u w:val="single"/>
              </w:rPr>
              <w:t>NELL’ULTIMO QUADRIENNIO</w:t>
            </w:r>
          </w:p>
        </w:tc>
        <w:tc>
          <w:tcPr>
            <w:tcW w:w="1500" w:type="dxa"/>
            <w:shd w:val="pct10" w:color="FFFF00" w:fill="auto"/>
            <w:vAlign w:val="center"/>
          </w:tcPr>
          <w:p w14:paraId="0AEDB568" w14:textId="77777777" w:rsidR="008F7FAD" w:rsidRPr="002E1FF5" w:rsidRDefault="008F7FAD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D52083">
              <w:rPr>
                <w:i/>
              </w:rPr>
              <w:t>Punti</w:t>
            </w:r>
          </w:p>
        </w:tc>
      </w:tr>
      <w:tr w:rsidR="009B3ABC" w:rsidRPr="00F70053" w14:paraId="4D2BF1E9" w14:textId="77777777" w:rsidTr="009B3ABC">
        <w:tc>
          <w:tcPr>
            <w:tcW w:w="3168" w:type="dxa"/>
            <w:gridSpan w:val="2"/>
            <w:shd w:val="clear" w:color="auto" w:fill="auto"/>
            <w:vAlign w:val="center"/>
          </w:tcPr>
          <w:p w14:paraId="44BF5FED" w14:textId="77777777" w:rsidR="009B3ABC" w:rsidRPr="0021533C" w:rsidRDefault="009B3ABC" w:rsidP="009B3AB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 e n° mesi assegnista 1</w:t>
            </w:r>
          </w:p>
        </w:tc>
        <w:tc>
          <w:tcPr>
            <w:tcW w:w="6460" w:type="dxa"/>
            <w:gridSpan w:val="2"/>
            <w:shd w:val="clear" w:color="auto" w:fill="auto"/>
            <w:vAlign w:val="center"/>
          </w:tcPr>
          <w:p w14:paraId="7CCFDBB0" w14:textId="2EDC14D9" w:rsidR="009B3ABC" w:rsidRPr="0021533C" w:rsidRDefault="009B3ABC" w:rsidP="009B3AB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ANDREA REPACI, 48 mesi (fino a febbraio 2020)</w:t>
            </w:r>
          </w:p>
        </w:tc>
      </w:tr>
      <w:tr w:rsidR="009B3ABC" w:rsidRPr="00F70053" w14:paraId="6F909ECE" w14:textId="77777777" w:rsidTr="009B3ABC">
        <w:trPr>
          <w:trHeight w:val="594"/>
        </w:trPr>
        <w:tc>
          <w:tcPr>
            <w:tcW w:w="3168" w:type="dxa"/>
            <w:gridSpan w:val="2"/>
            <w:vMerge w:val="restart"/>
            <w:shd w:val="clear" w:color="auto" w:fill="auto"/>
            <w:vAlign w:val="center"/>
          </w:tcPr>
          <w:p w14:paraId="29EC64F7" w14:textId="77777777" w:rsidR="009B3ABC" w:rsidRPr="0021533C" w:rsidRDefault="009B3ABC" w:rsidP="009B3AB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83559D">
              <w:rPr>
                <w:b/>
                <w:sz w:val="28"/>
                <w:szCs w:val="28"/>
              </w:rPr>
              <w:t>Max. 4</w:t>
            </w:r>
            <w:r>
              <w:rPr>
                <w:sz w:val="28"/>
                <w:szCs w:val="28"/>
              </w:rPr>
              <w:t xml:space="preserve"> lavori in </w:t>
            </w:r>
            <w:proofErr w:type="spellStart"/>
            <w:r>
              <w:rPr>
                <w:sz w:val="28"/>
                <w:szCs w:val="28"/>
              </w:rPr>
              <w:t>extenso</w:t>
            </w:r>
            <w:proofErr w:type="spellEnd"/>
            <w:r>
              <w:rPr>
                <w:sz w:val="28"/>
                <w:szCs w:val="28"/>
              </w:rPr>
              <w:t xml:space="preserve"> su riviste indicizzate </w:t>
            </w:r>
            <w:proofErr w:type="spellStart"/>
            <w:r>
              <w:rPr>
                <w:sz w:val="28"/>
                <w:szCs w:val="28"/>
              </w:rPr>
              <w:t>PubMed</w:t>
            </w:r>
            <w:proofErr w:type="spellEnd"/>
          </w:p>
        </w:tc>
        <w:tc>
          <w:tcPr>
            <w:tcW w:w="6460" w:type="dxa"/>
            <w:gridSpan w:val="2"/>
            <w:shd w:val="clear" w:color="auto" w:fill="auto"/>
          </w:tcPr>
          <w:p w14:paraId="6CEA3217" w14:textId="4C189D93" w:rsidR="009B3ABC" w:rsidRPr="0021533C" w:rsidRDefault="009B3ABC" w:rsidP="009B3AB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002894">
              <w:rPr>
                <w:b/>
                <w:sz w:val="22"/>
                <w:szCs w:val="28"/>
              </w:rPr>
              <w:t>1</w:t>
            </w:r>
            <w:r w:rsidRPr="00002894">
              <w:rPr>
                <w:sz w:val="22"/>
                <w:szCs w:val="28"/>
              </w:rPr>
              <w:t xml:space="preserve">: Condello V, Cetani F, Denaro M, Torregrossa L, Pardi E, Piaggi P, Borsari S, Poma AM, </w:t>
            </w:r>
            <w:proofErr w:type="spellStart"/>
            <w:r w:rsidRPr="00002894">
              <w:rPr>
                <w:sz w:val="22"/>
                <w:szCs w:val="28"/>
              </w:rPr>
              <w:t>Muscarella</w:t>
            </w:r>
            <w:proofErr w:type="spellEnd"/>
            <w:r w:rsidRPr="00002894">
              <w:rPr>
                <w:sz w:val="22"/>
                <w:szCs w:val="28"/>
              </w:rPr>
              <w:t xml:space="preserve"> LA, Graziano P, Chiofalo MG, </w:t>
            </w:r>
            <w:r w:rsidRPr="00002894">
              <w:rPr>
                <w:b/>
                <w:sz w:val="22"/>
                <w:szCs w:val="28"/>
              </w:rPr>
              <w:t>Repaci A</w:t>
            </w:r>
            <w:r w:rsidRPr="00002894">
              <w:rPr>
                <w:sz w:val="22"/>
                <w:szCs w:val="28"/>
              </w:rPr>
              <w:t xml:space="preserve">, Tallini G, Boi F, Materazzi G, Basolo F, Marcocci C. Gene </w:t>
            </w:r>
            <w:proofErr w:type="spellStart"/>
            <w:r w:rsidRPr="00002894">
              <w:rPr>
                <w:sz w:val="22"/>
                <w:szCs w:val="28"/>
              </w:rPr>
              <w:t>expression</w:t>
            </w:r>
            <w:proofErr w:type="spellEnd"/>
            <w:r w:rsidRPr="00002894">
              <w:rPr>
                <w:sz w:val="22"/>
                <w:szCs w:val="28"/>
              </w:rPr>
              <w:t xml:space="preserve"> </w:t>
            </w:r>
            <w:proofErr w:type="spellStart"/>
            <w:r w:rsidRPr="00002894">
              <w:rPr>
                <w:sz w:val="22"/>
                <w:szCs w:val="28"/>
              </w:rPr>
              <w:t>profile</w:t>
            </w:r>
            <w:proofErr w:type="spellEnd"/>
            <w:r w:rsidRPr="00002894">
              <w:rPr>
                <w:sz w:val="22"/>
                <w:szCs w:val="28"/>
              </w:rPr>
              <w:t xml:space="preserve"> in </w:t>
            </w:r>
            <w:proofErr w:type="spellStart"/>
            <w:r w:rsidRPr="00002894">
              <w:rPr>
                <w:sz w:val="22"/>
                <w:szCs w:val="28"/>
              </w:rPr>
              <w:t>metastatic</w:t>
            </w:r>
            <w:proofErr w:type="spellEnd"/>
            <w:r w:rsidRPr="00002894">
              <w:rPr>
                <w:sz w:val="22"/>
                <w:szCs w:val="28"/>
              </w:rPr>
              <w:t xml:space="preserve"> and non-</w:t>
            </w:r>
            <w:proofErr w:type="spellStart"/>
            <w:r w:rsidRPr="00002894">
              <w:rPr>
                <w:sz w:val="22"/>
                <w:szCs w:val="28"/>
              </w:rPr>
              <w:t>metastatic</w:t>
            </w:r>
            <w:proofErr w:type="spellEnd"/>
            <w:r w:rsidRPr="00002894">
              <w:rPr>
                <w:sz w:val="22"/>
                <w:szCs w:val="28"/>
              </w:rPr>
              <w:t xml:space="preserve"> </w:t>
            </w:r>
            <w:proofErr w:type="spellStart"/>
            <w:r w:rsidRPr="00002894">
              <w:rPr>
                <w:sz w:val="22"/>
                <w:szCs w:val="28"/>
              </w:rPr>
              <w:t>parathyroid</w:t>
            </w:r>
            <w:proofErr w:type="spellEnd"/>
            <w:r w:rsidRPr="00002894">
              <w:rPr>
                <w:sz w:val="22"/>
                <w:szCs w:val="28"/>
              </w:rPr>
              <w:t xml:space="preserve"> carcinoma. </w:t>
            </w:r>
            <w:proofErr w:type="spellStart"/>
            <w:r w:rsidRPr="00002894">
              <w:rPr>
                <w:sz w:val="22"/>
                <w:szCs w:val="28"/>
                <w:lang w:val="en-US"/>
              </w:rPr>
              <w:t>Endocr</w:t>
            </w:r>
            <w:proofErr w:type="spellEnd"/>
            <w:r w:rsidRPr="00002894">
              <w:rPr>
                <w:sz w:val="22"/>
                <w:szCs w:val="28"/>
                <w:lang w:val="en-US"/>
              </w:rPr>
              <w:t xml:space="preserve"> </w:t>
            </w:r>
            <w:proofErr w:type="spellStart"/>
            <w:r w:rsidRPr="00002894">
              <w:rPr>
                <w:sz w:val="22"/>
                <w:szCs w:val="28"/>
                <w:lang w:val="en-US"/>
              </w:rPr>
              <w:t>Relat</w:t>
            </w:r>
            <w:proofErr w:type="spellEnd"/>
            <w:r w:rsidRPr="00002894">
              <w:rPr>
                <w:sz w:val="22"/>
                <w:szCs w:val="28"/>
                <w:lang w:val="en-US"/>
              </w:rPr>
              <w:t xml:space="preserve"> Cancer. 2021 Feb;28(2):111-134. </w:t>
            </w:r>
            <w:proofErr w:type="spellStart"/>
            <w:r w:rsidRPr="00002894">
              <w:rPr>
                <w:sz w:val="22"/>
                <w:szCs w:val="28"/>
                <w:lang w:val="en-US"/>
              </w:rPr>
              <w:t>doi</w:t>
            </w:r>
            <w:proofErr w:type="spellEnd"/>
            <w:r w:rsidRPr="00002894">
              <w:rPr>
                <w:sz w:val="22"/>
                <w:szCs w:val="28"/>
                <w:lang w:val="en-US"/>
              </w:rPr>
              <w:t>: 10.1530/ERC-20-0450. PMID: 33290252.</w:t>
            </w:r>
          </w:p>
        </w:tc>
      </w:tr>
      <w:tr w:rsidR="009B3ABC" w:rsidRPr="00F70053" w14:paraId="0D67B23E" w14:textId="77777777" w:rsidTr="009B3ABC">
        <w:trPr>
          <w:trHeight w:val="592"/>
        </w:trPr>
        <w:tc>
          <w:tcPr>
            <w:tcW w:w="3168" w:type="dxa"/>
            <w:gridSpan w:val="2"/>
            <w:vMerge/>
            <w:shd w:val="clear" w:color="auto" w:fill="auto"/>
            <w:vAlign w:val="center"/>
          </w:tcPr>
          <w:p w14:paraId="1A2927D2" w14:textId="77777777" w:rsidR="009B3ABC" w:rsidDel="00052630" w:rsidRDefault="009B3ABC" w:rsidP="009B3AB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6460" w:type="dxa"/>
            <w:gridSpan w:val="2"/>
            <w:shd w:val="clear" w:color="auto" w:fill="auto"/>
          </w:tcPr>
          <w:p w14:paraId="37E954D1" w14:textId="6761FAF3" w:rsidR="009B3ABC" w:rsidRPr="0021533C" w:rsidRDefault="009B3ABC" w:rsidP="009B3AB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F2338C">
              <w:rPr>
                <w:b/>
                <w:sz w:val="22"/>
                <w:szCs w:val="28"/>
              </w:rPr>
              <w:t>2</w:t>
            </w:r>
            <w:r w:rsidRPr="00F2338C">
              <w:rPr>
                <w:sz w:val="22"/>
                <w:szCs w:val="28"/>
              </w:rPr>
              <w:t xml:space="preserve">: </w:t>
            </w:r>
            <w:proofErr w:type="spellStart"/>
            <w:r w:rsidRPr="00F2338C">
              <w:rPr>
                <w:sz w:val="22"/>
                <w:szCs w:val="28"/>
              </w:rPr>
              <w:t>Innella</w:t>
            </w:r>
            <w:proofErr w:type="spellEnd"/>
            <w:r w:rsidRPr="00F2338C">
              <w:rPr>
                <w:sz w:val="22"/>
                <w:szCs w:val="28"/>
              </w:rPr>
              <w:t xml:space="preserve"> G, Rossi C, Romagnoli M, </w:t>
            </w:r>
            <w:r w:rsidRPr="00F2338C">
              <w:rPr>
                <w:b/>
                <w:sz w:val="22"/>
                <w:szCs w:val="28"/>
              </w:rPr>
              <w:t>Repaci A</w:t>
            </w:r>
            <w:r w:rsidRPr="00F2338C">
              <w:rPr>
                <w:sz w:val="22"/>
                <w:szCs w:val="28"/>
              </w:rPr>
              <w:t xml:space="preserve">, Bianchi D, Cantarini ME, Martorana D, Godino L, Pession A, </w:t>
            </w:r>
            <w:proofErr w:type="spellStart"/>
            <w:r w:rsidRPr="00F2338C">
              <w:rPr>
                <w:sz w:val="22"/>
                <w:szCs w:val="28"/>
              </w:rPr>
              <w:t>Percesepe</w:t>
            </w:r>
            <w:proofErr w:type="spellEnd"/>
            <w:r w:rsidRPr="00F2338C">
              <w:rPr>
                <w:sz w:val="22"/>
                <w:szCs w:val="28"/>
              </w:rPr>
              <w:t xml:space="preserve"> A, Pagotto U, Turchetti D. </w:t>
            </w:r>
            <w:proofErr w:type="spellStart"/>
            <w:r w:rsidRPr="00F2338C">
              <w:rPr>
                <w:sz w:val="22"/>
                <w:szCs w:val="28"/>
              </w:rPr>
              <w:t>Results</w:t>
            </w:r>
            <w:proofErr w:type="spellEnd"/>
            <w:r w:rsidRPr="00F2338C">
              <w:rPr>
                <w:sz w:val="22"/>
                <w:szCs w:val="28"/>
              </w:rPr>
              <w:t xml:space="preserve"> and Clinical </w:t>
            </w:r>
            <w:proofErr w:type="spellStart"/>
            <w:r w:rsidRPr="00F2338C">
              <w:rPr>
                <w:sz w:val="22"/>
                <w:szCs w:val="28"/>
              </w:rPr>
              <w:t>Interpretation</w:t>
            </w:r>
            <w:proofErr w:type="spellEnd"/>
            <w:r w:rsidRPr="00F2338C">
              <w:rPr>
                <w:sz w:val="22"/>
                <w:szCs w:val="28"/>
              </w:rPr>
              <w:t xml:space="preserve"> of </w:t>
            </w:r>
            <w:proofErr w:type="spellStart"/>
            <w:r w:rsidRPr="00F2338C">
              <w:rPr>
                <w:sz w:val="22"/>
                <w:szCs w:val="28"/>
              </w:rPr>
              <w:t>Germline</w:t>
            </w:r>
            <w:proofErr w:type="spellEnd"/>
            <w:r w:rsidRPr="00F2338C">
              <w:rPr>
                <w:sz w:val="22"/>
                <w:szCs w:val="28"/>
              </w:rPr>
              <w:t xml:space="preserve"> RET Analysis in a Series of </w:t>
            </w:r>
            <w:proofErr w:type="spellStart"/>
            <w:r w:rsidRPr="00F2338C">
              <w:rPr>
                <w:sz w:val="22"/>
                <w:szCs w:val="28"/>
              </w:rPr>
              <w:t>Patients</w:t>
            </w:r>
            <w:proofErr w:type="spellEnd"/>
            <w:r w:rsidRPr="00F2338C">
              <w:rPr>
                <w:sz w:val="22"/>
                <w:szCs w:val="28"/>
              </w:rPr>
              <w:t xml:space="preserve"> with </w:t>
            </w:r>
            <w:proofErr w:type="spellStart"/>
            <w:r w:rsidRPr="00F2338C">
              <w:rPr>
                <w:sz w:val="22"/>
                <w:szCs w:val="28"/>
              </w:rPr>
              <w:t>Medullary</w:t>
            </w:r>
            <w:proofErr w:type="spellEnd"/>
            <w:r w:rsidRPr="00F2338C">
              <w:rPr>
                <w:sz w:val="22"/>
                <w:szCs w:val="28"/>
              </w:rPr>
              <w:t xml:space="preserve"> </w:t>
            </w:r>
            <w:proofErr w:type="spellStart"/>
            <w:r w:rsidRPr="00F2338C">
              <w:rPr>
                <w:sz w:val="22"/>
                <w:szCs w:val="28"/>
              </w:rPr>
              <w:t>Thyroid</w:t>
            </w:r>
            <w:proofErr w:type="spellEnd"/>
            <w:r w:rsidRPr="00F2338C">
              <w:rPr>
                <w:sz w:val="22"/>
                <w:szCs w:val="28"/>
              </w:rPr>
              <w:t xml:space="preserve"> Carcinoma: The Challenge of the </w:t>
            </w:r>
            <w:proofErr w:type="spellStart"/>
            <w:r w:rsidRPr="00F2338C">
              <w:rPr>
                <w:sz w:val="22"/>
                <w:szCs w:val="28"/>
              </w:rPr>
              <w:t>Variants</w:t>
            </w:r>
            <w:proofErr w:type="spellEnd"/>
            <w:r w:rsidRPr="00F2338C">
              <w:rPr>
                <w:sz w:val="22"/>
                <w:szCs w:val="28"/>
              </w:rPr>
              <w:t xml:space="preserve"> of </w:t>
            </w:r>
            <w:proofErr w:type="spellStart"/>
            <w:r w:rsidRPr="00F2338C">
              <w:rPr>
                <w:sz w:val="22"/>
                <w:szCs w:val="28"/>
              </w:rPr>
              <w:t>Uncertain</w:t>
            </w:r>
            <w:proofErr w:type="spellEnd"/>
            <w:r w:rsidRPr="00F2338C">
              <w:rPr>
                <w:sz w:val="22"/>
                <w:szCs w:val="28"/>
              </w:rPr>
              <w:t xml:space="preserve"> </w:t>
            </w:r>
            <w:proofErr w:type="spellStart"/>
            <w:r w:rsidRPr="00F2338C">
              <w:rPr>
                <w:sz w:val="22"/>
                <w:szCs w:val="28"/>
              </w:rPr>
              <w:t>Significance</w:t>
            </w:r>
            <w:proofErr w:type="spellEnd"/>
            <w:r w:rsidRPr="00F2338C">
              <w:rPr>
                <w:sz w:val="22"/>
                <w:szCs w:val="28"/>
              </w:rPr>
              <w:t xml:space="preserve">. </w:t>
            </w:r>
            <w:r w:rsidRPr="00002894">
              <w:rPr>
                <w:sz w:val="22"/>
                <w:szCs w:val="28"/>
                <w:lang w:val="en-US"/>
              </w:rPr>
              <w:t xml:space="preserve">Cancers (Basel). 2020 Nov 5;12(11):3268. </w:t>
            </w:r>
            <w:proofErr w:type="spellStart"/>
            <w:r w:rsidRPr="00002894">
              <w:rPr>
                <w:sz w:val="22"/>
                <w:szCs w:val="28"/>
                <w:lang w:val="en-US"/>
              </w:rPr>
              <w:t>doi</w:t>
            </w:r>
            <w:proofErr w:type="spellEnd"/>
            <w:r w:rsidRPr="00002894">
              <w:rPr>
                <w:sz w:val="22"/>
                <w:szCs w:val="28"/>
                <w:lang w:val="en-US"/>
              </w:rPr>
              <w:t>: 10.3390/cancers12113268. PMID: 33167350; PMCID: PMC7694403.</w:t>
            </w:r>
          </w:p>
        </w:tc>
      </w:tr>
      <w:tr w:rsidR="009B3ABC" w:rsidRPr="00F70053" w14:paraId="15E7211F" w14:textId="77777777" w:rsidTr="009B3ABC">
        <w:trPr>
          <w:trHeight w:val="592"/>
        </w:trPr>
        <w:tc>
          <w:tcPr>
            <w:tcW w:w="3168" w:type="dxa"/>
            <w:gridSpan w:val="2"/>
            <w:vMerge/>
            <w:shd w:val="clear" w:color="auto" w:fill="auto"/>
            <w:vAlign w:val="center"/>
          </w:tcPr>
          <w:p w14:paraId="5E2D9F9B" w14:textId="77777777" w:rsidR="009B3ABC" w:rsidDel="00052630" w:rsidRDefault="009B3ABC" w:rsidP="009B3AB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6460" w:type="dxa"/>
            <w:gridSpan w:val="2"/>
            <w:shd w:val="clear" w:color="auto" w:fill="auto"/>
          </w:tcPr>
          <w:p w14:paraId="1750E829" w14:textId="34E5215B" w:rsidR="009B3ABC" w:rsidRPr="0021533C" w:rsidRDefault="009B3ABC" w:rsidP="009B3AB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F2338C">
              <w:rPr>
                <w:b/>
                <w:sz w:val="22"/>
                <w:szCs w:val="28"/>
              </w:rPr>
              <w:t>3</w:t>
            </w:r>
            <w:r w:rsidRPr="00F2338C">
              <w:rPr>
                <w:sz w:val="22"/>
                <w:szCs w:val="28"/>
              </w:rPr>
              <w:t xml:space="preserve">: Piccin O, D'Alessio P, </w:t>
            </w:r>
            <w:proofErr w:type="spellStart"/>
            <w:r w:rsidRPr="00F2338C">
              <w:rPr>
                <w:sz w:val="22"/>
                <w:szCs w:val="28"/>
              </w:rPr>
              <w:t>Cioccoloni</w:t>
            </w:r>
            <w:proofErr w:type="spellEnd"/>
            <w:r w:rsidRPr="00F2338C">
              <w:rPr>
                <w:sz w:val="22"/>
                <w:szCs w:val="28"/>
              </w:rPr>
              <w:t xml:space="preserve"> E, Burgio L, Poggi C, Altieri P, Vicennati V, </w:t>
            </w:r>
            <w:r w:rsidRPr="00F2338C">
              <w:rPr>
                <w:b/>
                <w:sz w:val="22"/>
                <w:szCs w:val="28"/>
              </w:rPr>
              <w:t>Repaci A</w:t>
            </w:r>
            <w:r w:rsidRPr="00F2338C">
              <w:rPr>
                <w:sz w:val="22"/>
                <w:szCs w:val="28"/>
              </w:rPr>
              <w:t xml:space="preserve">, Pagotto U, Cavicchi O. </w:t>
            </w:r>
            <w:proofErr w:type="spellStart"/>
            <w:r w:rsidRPr="00F2338C">
              <w:rPr>
                <w:sz w:val="22"/>
                <w:szCs w:val="28"/>
              </w:rPr>
              <w:t>Pre</w:t>
            </w:r>
            <w:proofErr w:type="spellEnd"/>
            <w:r w:rsidRPr="00F2338C">
              <w:rPr>
                <w:sz w:val="22"/>
                <w:szCs w:val="28"/>
              </w:rPr>
              <w:t xml:space="preserve">-operative imaging </w:t>
            </w:r>
            <w:proofErr w:type="spellStart"/>
            <w:r w:rsidRPr="00F2338C">
              <w:rPr>
                <w:sz w:val="22"/>
                <w:szCs w:val="28"/>
              </w:rPr>
              <w:t>workup</w:t>
            </w:r>
            <w:proofErr w:type="spellEnd"/>
            <w:r w:rsidRPr="00F2338C">
              <w:rPr>
                <w:sz w:val="22"/>
                <w:szCs w:val="28"/>
              </w:rPr>
              <w:t xml:space="preserve"> for </w:t>
            </w:r>
            <w:proofErr w:type="spellStart"/>
            <w:r w:rsidRPr="00F2338C">
              <w:rPr>
                <w:sz w:val="22"/>
                <w:szCs w:val="28"/>
              </w:rPr>
              <w:t>surgical</w:t>
            </w:r>
            <w:proofErr w:type="spellEnd"/>
            <w:r w:rsidRPr="00F2338C">
              <w:rPr>
                <w:sz w:val="22"/>
                <w:szCs w:val="28"/>
              </w:rPr>
              <w:t xml:space="preserve"> </w:t>
            </w:r>
            <w:proofErr w:type="spellStart"/>
            <w:r w:rsidRPr="00F2338C">
              <w:rPr>
                <w:sz w:val="22"/>
                <w:szCs w:val="28"/>
              </w:rPr>
              <w:t>intervention</w:t>
            </w:r>
            <w:proofErr w:type="spellEnd"/>
            <w:r w:rsidRPr="00F2338C">
              <w:rPr>
                <w:sz w:val="22"/>
                <w:szCs w:val="28"/>
              </w:rPr>
              <w:t xml:space="preserve"> in </w:t>
            </w:r>
            <w:proofErr w:type="spellStart"/>
            <w:r w:rsidRPr="00F2338C">
              <w:rPr>
                <w:sz w:val="22"/>
                <w:szCs w:val="28"/>
              </w:rPr>
              <w:t>primary</w:t>
            </w:r>
            <w:proofErr w:type="spellEnd"/>
            <w:r w:rsidRPr="00F2338C">
              <w:rPr>
                <w:sz w:val="22"/>
                <w:szCs w:val="28"/>
              </w:rPr>
              <w:t xml:space="preserve"> </w:t>
            </w:r>
            <w:proofErr w:type="spellStart"/>
            <w:r w:rsidRPr="00F2338C">
              <w:rPr>
                <w:sz w:val="22"/>
                <w:szCs w:val="28"/>
              </w:rPr>
              <w:t>hyperparathyroidism</w:t>
            </w:r>
            <w:proofErr w:type="spellEnd"/>
            <w:r w:rsidRPr="00F2338C">
              <w:rPr>
                <w:sz w:val="22"/>
                <w:szCs w:val="28"/>
              </w:rPr>
              <w:t xml:space="preserve">: A </w:t>
            </w:r>
            <w:proofErr w:type="spellStart"/>
            <w:r w:rsidRPr="00F2338C">
              <w:rPr>
                <w:sz w:val="22"/>
                <w:szCs w:val="28"/>
              </w:rPr>
              <w:t>tertiary</w:t>
            </w:r>
            <w:proofErr w:type="spellEnd"/>
            <w:r w:rsidRPr="00F2338C">
              <w:rPr>
                <w:sz w:val="22"/>
                <w:szCs w:val="28"/>
              </w:rPr>
              <w:t xml:space="preserve"> </w:t>
            </w:r>
            <w:proofErr w:type="spellStart"/>
            <w:r w:rsidRPr="00F2338C">
              <w:rPr>
                <w:sz w:val="22"/>
                <w:szCs w:val="28"/>
              </w:rPr>
              <w:t>referral</w:t>
            </w:r>
            <w:proofErr w:type="spellEnd"/>
            <w:r w:rsidRPr="00F2338C">
              <w:rPr>
                <w:sz w:val="22"/>
                <w:szCs w:val="28"/>
              </w:rPr>
              <w:t xml:space="preserve"> center </w:t>
            </w:r>
            <w:proofErr w:type="spellStart"/>
            <w:r w:rsidRPr="00F2338C">
              <w:rPr>
                <w:sz w:val="22"/>
                <w:szCs w:val="28"/>
              </w:rPr>
              <w:t>experience</w:t>
            </w:r>
            <w:proofErr w:type="spellEnd"/>
            <w:r w:rsidRPr="00F2338C">
              <w:rPr>
                <w:sz w:val="22"/>
                <w:szCs w:val="28"/>
              </w:rPr>
              <w:t xml:space="preserve">. </w:t>
            </w:r>
            <w:r w:rsidRPr="003F2069">
              <w:rPr>
                <w:sz w:val="22"/>
                <w:szCs w:val="28"/>
                <w:lang w:val="en-US"/>
              </w:rPr>
              <w:t xml:space="preserve">Am J </w:t>
            </w:r>
            <w:proofErr w:type="spellStart"/>
            <w:r w:rsidRPr="003F2069">
              <w:rPr>
                <w:sz w:val="22"/>
                <w:szCs w:val="28"/>
                <w:lang w:val="en-US"/>
              </w:rPr>
              <w:t>Otolaryngol</w:t>
            </w:r>
            <w:proofErr w:type="spellEnd"/>
            <w:r w:rsidRPr="003F2069">
              <w:rPr>
                <w:sz w:val="22"/>
                <w:szCs w:val="28"/>
                <w:lang w:val="en-US"/>
              </w:rPr>
              <w:t xml:space="preserve">. 2021 Jan-Feb;42(1):102819. </w:t>
            </w:r>
            <w:proofErr w:type="spellStart"/>
            <w:r w:rsidRPr="003F2069">
              <w:rPr>
                <w:sz w:val="22"/>
                <w:szCs w:val="28"/>
                <w:lang w:val="en-US"/>
              </w:rPr>
              <w:t>doi</w:t>
            </w:r>
            <w:proofErr w:type="spellEnd"/>
            <w:r w:rsidRPr="003F2069">
              <w:rPr>
                <w:sz w:val="22"/>
                <w:szCs w:val="28"/>
                <w:lang w:val="en-US"/>
              </w:rPr>
              <w:t>:</w:t>
            </w:r>
            <w:r>
              <w:rPr>
                <w:sz w:val="22"/>
                <w:szCs w:val="28"/>
                <w:lang w:val="en-US"/>
              </w:rPr>
              <w:t xml:space="preserve"> </w:t>
            </w:r>
            <w:r w:rsidRPr="003F2069">
              <w:rPr>
                <w:sz w:val="22"/>
                <w:szCs w:val="28"/>
                <w:lang w:val="en-US"/>
              </w:rPr>
              <w:t xml:space="preserve">10.1016/j.amjoto.2020.102819. </w:t>
            </w:r>
            <w:proofErr w:type="spellStart"/>
            <w:r w:rsidRPr="003F2069">
              <w:rPr>
                <w:sz w:val="22"/>
                <w:szCs w:val="28"/>
                <w:lang w:val="en-US"/>
              </w:rPr>
              <w:t>Epub</w:t>
            </w:r>
            <w:proofErr w:type="spellEnd"/>
            <w:r w:rsidRPr="003F2069">
              <w:rPr>
                <w:sz w:val="22"/>
                <w:szCs w:val="28"/>
                <w:lang w:val="en-US"/>
              </w:rPr>
              <w:t xml:space="preserve"> 2020 Oct 31. </w:t>
            </w:r>
            <w:r w:rsidRPr="0021520C">
              <w:rPr>
                <w:sz w:val="22"/>
                <w:szCs w:val="28"/>
              </w:rPr>
              <w:t>PMID: 33157312.</w:t>
            </w:r>
          </w:p>
        </w:tc>
      </w:tr>
      <w:tr w:rsidR="009B3ABC" w:rsidRPr="00F70053" w14:paraId="1843377C" w14:textId="77777777" w:rsidTr="009B3ABC">
        <w:trPr>
          <w:trHeight w:val="592"/>
        </w:trPr>
        <w:tc>
          <w:tcPr>
            <w:tcW w:w="3168" w:type="dxa"/>
            <w:gridSpan w:val="2"/>
            <w:vMerge/>
            <w:shd w:val="clear" w:color="auto" w:fill="auto"/>
            <w:vAlign w:val="center"/>
          </w:tcPr>
          <w:p w14:paraId="5EEE6CE4" w14:textId="77777777" w:rsidR="009B3ABC" w:rsidDel="00052630" w:rsidRDefault="009B3ABC" w:rsidP="009B3AB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6460" w:type="dxa"/>
            <w:gridSpan w:val="2"/>
            <w:shd w:val="clear" w:color="auto" w:fill="auto"/>
          </w:tcPr>
          <w:p w14:paraId="7BD43D5E" w14:textId="553D7B2C" w:rsidR="009B3ABC" w:rsidRPr="0021533C" w:rsidRDefault="009B3ABC" w:rsidP="009B3AB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F8538F">
              <w:rPr>
                <w:b/>
                <w:sz w:val="22"/>
                <w:szCs w:val="28"/>
              </w:rPr>
              <w:t>4</w:t>
            </w:r>
            <w:r w:rsidRPr="003F2069">
              <w:rPr>
                <w:sz w:val="22"/>
                <w:szCs w:val="28"/>
              </w:rPr>
              <w:t xml:space="preserve">: Grani G, Zatelli MC, </w:t>
            </w:r>
            <w:proofErr w:type="spellStart"/>
            <w:r w:rsidRPr="003F2069">
              <w:rPr>
                <w:sz w:val="22"/>
                <w:szCs w:val="28"/>
              </w:rPr>
              <w:t>Alfò</w:t>
            </w:r>
            <w:proofErr w:type="spellEnd"/>
            <w:r w:rsidRPr="003F2069">
              <w:rPr>
                <w:sz w:val="22"/>
                <w:szCs w:val="28"/>
              </w:rPr>
              <w:t xml:space="preserve"> M, Montesano T, </w:t>
            </w:r>
            <w:proofErr w:type="spellStart"/>
            <w:r w:rsidRPr="003F2069">
              <w:rPr>
                <w:sz w:val="22"/>
                <w:szCs w:val="28"/>
              </w:rPr>
              <w:t>Torlontano</w:t>
            </w:r>
            <w:proofErr w:type="spellEnd"/>
            <w:r w:rsidRPr="003F2069">
              <w:rPr>
                <w:sz w:val="22"/>
                <w:szCs w:val="28"/>
              </w:rPr>
              <w:t xml:space="preserve"> M, Morelli S, </w:t>
            </w:r>
            <w:proofErr w:type="spellStart"/>
            <w:r w:rsidRPr="003F2069">
              <w:rPr>
                <w:sz w:val="22"/>
                <w:szCs w:val="28"/>
              </w:rPr>
              <w:t>Deandrea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r w:rsidRPr="003F2069">
              <w:rPr>
                <w:sz w:val="22"/>
                <w:szCs w:val="28"/>
              </w:rPr>
              <w:t>M, Antonelli A, Francese C, Ceresini G, Orlandi F, Maniglia CA, Bruno R, Monti</w:t>
            </w:r>
            <w:r>
              <w:rPr>
                <w:sz w:val="22"/>
                <w:szCs w:val="28"/>
              </w:rPr>
              <w:t xml:space="preserve"> </w:t>
            </w:r>
            <w:r w:rsidRPr="003F2069">
              <w:rPr>
                <w:sz w:val="22"/>
                <w:szCs w:val="28"/>
              </w:rPr>
              <w:t xml:space="preserve">S, </w:t>
            </w:r>
            <w:proofErr w:type="spellStart"/>
            <w:r w:rsidRPr="003F2069">
              <w:rPr>
                <w:sz w:val="22"/>
                <w:szCs w:val="28"/>
              </w:rPr>
              <w:t>Santaguida</w:t>
            </w:r>
            <w:proofErr w:type="spellEnd"/>
            <w:r w:rsidRPr="003F2069">
              <w:rPr>
                <w:sz w:val="22"/>
                <w:szCs w:val="28"/>
              </w:rPr>
              <w:t xml:space="preserve"> MG, </w:t>
            </w:r>
            <w:r w:rsidRPr="003F2069">
              <w:rPr>
                <w:b/>
                <w:sz w:val="22"/>
                <w:szCs w:val="28"/>
              </w:rPr>
              <w:t>Repaci A</w:t>
            </w:r>
            <w:r w:rsidRPr="003F2069">
              <w:rPr>
                <w:sz w:val="22"/>
                <w:szCs w:val="28"/>
              </w:rPr>
              <w:t xml:space="preserve">, Tallini G, </w:t>
            </w:r>
            <w:proofErr w:type="spellStart"/>
            <w:r w:rsidRPr="003F2069">
              <w:rPr>
                <w:sz w:val="22"/>
                <w:szCs w:val="28"/>
              </w:rPr>
              <w:t>Fugazzola</w:t>
            </w:r>
            <w:proofErr w:type="spellEnd"/>
            <w:r w:rsidRPr="003F2069">
              <w:rPr>
                <w:sz w:val="22"/>
                <w:szCs w:val="28"/>
              </w:rPr>
              <w:t xml:space="preserve"> L, Monzani F, Giubbini R,</w:t>
            </w:r>
            <w:r>
              <w:rPr>
                <w:sz w:val="22"/>
                <w:szCs w:val="28"/>
              </w:rPr>
              <w:t xml:space="preserve"> </w:t>
            </w:r>
            <w:r w:rsidRPr="003F2069">
              <w:rPr>
                <w:sz w:val="22"/>
                <w:szCs w:val="28"/>
              </w:rPr>
              <w:t>Rossetto R, Mian C, Crescenzi A, Tumino D, Pagano L, Pezzullo L, Lombardi CP,</w:t>
            </w:r>
            <w:r>
              <w:rPr>
                <w:sz w:val="22"/>
                <w:szCs w:val="28"/>
              </w:rPr>
              <w:t xml:space="preserve"> </w:t>
            </w:r>
            <w:r w:rsidRPr="003F2069">
              <w:rPr>
                <w:sz w:val="22"/>
                <w:szCs w:val="28"/>
              </w:rPr>
              <w:t>Arvat E, Petrone L, Castagna MG, Spiazzi G, Salvatore D, Meringolo D, Solaroli</w:t>
            </w:r>
            <w:r>
              <w:rPr>
                <w:sz w:val="22"/>
                <w:szCs w:val="28"/>
              </w:rPr>
              <w:t xml:space="preserve"> </w:t>
            </w:r>
            <w:r w:rsidRPr="003F2069">
              <w:rPr>
                <w:sz w:val="22"/>
                <w:szCs w:val="28"/>
              </w:rPr>
              <w:t>E, Monari F, Magri F, Triggiani V, Castello R, Piazza C, Rossi R, Ferraro</w:t>
            </w:r>
            <w:r>
              <w:rPr>
                <w:sz w:val="22"/>
                <w:szCs w:val="28"/>
              </w:rPr>
              <w:t xml:space="preserve"> </w:t>
            </w:r>
            <w:r w:rsidRPr="00C8753D">
              <w:rPr>
                <w:sz w:val="22"/>
                <w:szCs w:val="28"/>
              </w:rPr>
              <w:t xml:space="preserve">Petrillo U, Filetti S, Durante C. Real-World Performance of the American </w:t>
            </w:r>
            <w:proofErr w:type="spellStart"/>
            <w:r w:rsidRPr="00C8753D">
              <w:rPr>
                <w:sz w:val="22"/>
                <w:szCs w:val="28"/>
              </w:rPr>
              <w:t>Thyroid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r w:rsidRPr="00F8538F">
              <w:rPr>
                <w:sz w:val="22"/>
                <w:szCs w:val="28"/>
              </w:rPr>
              <w:t xml:space="preserve">Association Risk </w:t>
            </w:r>
            <w:proofErr w:type="spellStart"/>
            <w:r w:rsidRPr="00F8538F">
              <w:rPr>
                <w:sz w:val="22"/>
                <w:szCs w:val="28"/>
              </w:rPr>
              <w:t>Estimates</w:t>
            </w:r>
            <w:proofErr w:type="spellEnd"/>
            <w:r w:rsidRPr="00F8538F">
              <w:rPr>
                <w:sz w:val="22"/>
                <w:szCs w:val="28"/>
              </w:rPr>
              <w:t xml:space="preserve"> in </w:t>
            </w:r>
            <w:proofErr w:type="spellStart"/>
            <w:r w:rsidRPr="00F8538F">
              <w:rPr>
                <w:sz w:val="22"/>
                <w:szCs w:val="28"/>
              </w:rPr>
              <w:t>Predicting</w:t>
            </w:r>
            <w:proofErr w:type="spellEnd"/>
            <w:r w:rsidRPr="00F8538F">
              <w:rPr>
                <w:sz w:val="22"/>
                <w:szCs w:val="28"/>
              </w:rPr>
              <w:t xml:space="preserve"> 1-Year </w:t>
            </w:r>
            <w:proofErr w:type="spellStart"/>
            <w:r w:rsidRPr="00F8538F">
              <w:rPr>
                <w:sz w:val="22"/>
                <w:szCs w:val="28"/>
              </w:rPr>
              <w:t>Differentiated</w:t>
            </w:r>
            <w:proofErr w:type="spellEnd"/>
            <w:r w:rsidRPr="00F8538F">
              <w:rPr>
                <w:sz w:val="22"/>
                <w:szCs w:val="28"/>
              </w:rPr>
              <w:t xml:space="preserve"> </w:t>
            </w:r>
            <w:proofErr w:type="spellStart"/>
            <w:r w:rsidRPr="00F8538F">
              <w:rPr>
                <w:sz w:val="22"/>
                <w:szCs w:val="28"/>
              </w:rPr>
              <w:t>Thyroid</w:t>
            </w:r>
            <w:proofErr w:type="spellEnd"/>
            <w:r w:rsidRPr="00F8538F">
              <w:rPr>
                <w:sz w:val="22"/>
                <w:szCs w:val="28"/>
              </w:rPr>
              <w:t xml:space="preserve"> Cancer </w:t>
            </w:r>
            <w:proofErr w:type="spellStart"/>
            <w:r w:rsidRPr="00F8538F">
              <w:rPr>
                <w:sz w:val="22"/>
                <w:szCs w:val="28"/>
              </w:rPr>
              <w:t>Outcomes</w:t>
            </w:r>
            <w:proofErr w:type="spellEnd"/>
            <w:r w:rsidRPr="00F8538F">
              <w:rPr>
                <w:sz w:val="22"/>
                <w:szCs w:val="28"/>
              </w:rPr>
              <w:t xml:space="preserve">: A </w:t>
            </w:r>
            <w:proofErr w:type="spellStart"/>
            <w:r w:rsidRPr="00F8538F">
              <w:rPr>
                <w:sz w:val="22"/>
                <w:szCs w:val="28"/>
              </w:rPr>
              <w:t>Prospective</w:t>
            </w:r>
            <w:proofErr w:type="spellEnd"/>
            <w:r w:rsidRPr="00F8538F">
              <w:rPr>
                <w:sz w:val="22"/>
                <w:szCs w:val="28"/>
              </w:rPr>
              <w:t xml:space="preserve"> </w:t>
            </w:r>
            <w:proofErr w:type="spellStart"/>
            <w:r w:rsidRPr="00F8538F">
              <w:rPr>
                <w:sz w:val="22"/>
                <w:szCs w:val="28"/>
              </w:rPr>
              <w:t>Multicenter</w:t>
            </w:r>
            <w:proofErr w:type="spellEnd"/>
            <w:r w:rsidRPr="00F8538F">
              <w:rPr>
                <w:sz w:val="22"/>
                <w:szCs w:val="28"/>
              </w:rPr>
              <w:t xml:space="preserve"> Study of 2000 </w:t>
            </w:r>
            <w:proofErr w:type="spellStart"/>
            <w:r w:rsidRPr="00F8538F">
              <w:rPr>
                <w:sz w:val="22"/>
                <w:szCs w:val="28"/>
              </w:rPr>
              <w:t>Patients</w:t>
            </w:r>
            <w:proofErr w:type="spellEnd"/>
            <w:r w:rsidRPr="00F8538F">
              <w:rPr>
                <w:sz w:val="22"/>
                <w:szCs w:val="28"/>
              </w:rPr>
              <w:t xml:space="preserve">. </w:t>
            </w:r>
            <w:r w:rsidRPr="003F2069">
              <w:rPr>
                <w:sz w:val="22"/>
                <w:szCs w:val="28"/>
                <w:lang w:val="en-US"/>
              </w:rPr>
              <w:t>Thyroid. 2021</w:t>
            </w:r>
            <w:r>
              <w:rPr>
                <w:sz w:val="22"/>
                <w:szCs w:val="28"/>
                <w:lang w:val="en-US"/>
              </w:rPr>
              <w:t xml:space="preserve"> </w:t>
            </w:r>
            <w:r w:rsidRPr="003F2069">
              <w:rPr>
                <w:sz w:val="22"/>
                <w:szCs w:val="28"/>
                <w:lang w:val="en-US"/>
              </w:rPr>
              <w:t xml:space="preserve">Feb;31(2):264-271. </w:t>
            </w:r>
            <w:proofErr w:type="spellStart"/>
            <w:r w:rsidRPr="003F2069">
              <w:rPr>
                <w:sz w:val="22"/>
                <w:szCs w:val="28"/>
                <w:lang w:val="en-US"/>
              </w:rPr>
              <w:t>doi</w:t>
            </w:r>
            <w:proofErr w:type="spellEnd"/>
            <w:r w:rsidRPr="003F2069">
              <w:rPr>
                <w:sz w:val="22"/>
                <w:szCs w:val="28"/>
                <w:lang w:val="en-US"/>
              </w:rPr>
              <w:t xml:space="preserve">: 10.1089/thy.2020.0272. </w:t>
            </w:r>
            <w:proofErr w:type="spellStart"/>
            <w:r w:rsidRPr="003F2069">
              <w:rPr>
                <w:sz w:val="22"/>
                <w:szCs w:val="28"/>
                <w:lang w:val="en-US"/>
              </w:rPr>
              <w:t>Epub</w:t>
            </w:r>
            <w:proofErr w:type="spellEnd"/>
            <w:r w:rsidRPr="003F2069">
              <w:rPr>
                <w:sz w:val="22"/>
                <w:szCs w:val="28"/>
                <w:lang w:val="en-US"/>
              </w:rPr>
              <w:t xml:space="preserve"> 2020 Jul 1. </w:t>
            </w:r>
            <w:r w:rsidRPr="003F2069">
              <w:rPr>
                <w:sz w:val="22"/>
                <w:szCs w:val="28"/>
              </w:rPr>
              <w:t>PMID: 32475305.</w:t>
            </w:r>
          </w:p>
        </w:tc>
      </w:tr>
      <w:tr w:rsidR="009B3ABC" w:rsidRPr="0021533C" w14:paraId="4A69B6D9" w14:textId="77777777" w:rsidTr="009B3ABC">
        <w:trPr>
          <w:trHeight w:val="420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5F18" w14:textId="77777777" w:rsidR="009B3ABC" w:rsidRPr="0021533C" w:rsidRDefault="009B3ABC" w:rsidP="009B3AB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 e n° mesi assegnista 2</w:t>
            </w: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10DC2" w14:textId="7536189B" w:rsidR="009B3ABC" w:rsidRPr="0021533C" w:rsidRDefault="00AC2650" w:rsidP="009B3AB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GIULIA VANDI (</w:t>
            </w:r>
            <w:r w:rsidR="0061111C">
              <w:rPr>
                <w:sz w:val="28"/>
                <w:szCs w:val="28"/>
              </w:rPr>
              <w:t>12 MESI, IN CORSO)</w:t>
            </w:r>
          </w:p>
        </w:tc>
      </w:tr>
      <w:tr w:rsidR="009B3ABC" w:rsidRPr="00FE6CF6" w14:paraId="64E90DA1" w14:textId="77777777" w:rsidTr="009B3ABC">
        <w:trPr>
          <w:trHeight w:val="594"/>
        </w:trPr>
        <w:tc>
          <w:tcPr>
            <w:tcW w:w="3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887D6" w14:textId="77777777" w:rsidR="009B3ABC" w:rsidRPr="00FE6CF6" w:rsidRDefault="009B3ABC" w:rsidP="009B3AB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2D5F">
              <w:rPr>
                <w:b/>
                <w:sz w:val="28"/>
                <w:szCs w:val="28"/>
              </w:rPr>
              <w:t>Max. 4</w:t>
            </w:r>
            <w:r>
              <w:rPr>
                <w:sz w:val="28"/>
                <w:szCs w:val="28"/>
              </w:rPr>
              <w:t xml:space="preserve"> lavori in </w:t>
            </w:r>
            <w:proofErr w:type="spellStart"/>
            <w:r>
              <w:rPr>
                <w:sz w:val="28"/>
                <w:szCs w:val="28"/>
              </w:rPr>
              <w:t>extenso</w:t>
            </w:r>
            <w:proofErr w:type="spellEnd"/>
            <w:r>
              <w:rPr>
                <w:sz w:val="28"/>
                <w:szCs w:val="28"/>
              </w:rPr>
              <w:t xml:space="preserve"> su riviste indicizzate </w:t>
            </w:r>
            <w:proofErr w:type="spellStart"/>
            <w:r>
              <w:rPr>
                <w:sz w:val="28"/>
                <w:szCs w:val="28"/>
              </w:rPr>
              <w:t>PubMed</w:t>
            </w:r>
            <w:proofErr w:type="spellEnd"/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F0E2" w14:textId="4C5ED63B" w:rsidR="009B3ABC" w:rsidRPr="008336C8" w:rsidRDefault="008336C8" w:rsidP="008336C8">
            <w:pPr>
              <w:pStyle w:val="NormaleWeb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661298">
              <w:rPr>
                <w:color w:val="212121"/>
                <w:sz w:val="20"/>
                <w:szCs w:val="20"/>
                <w:shd w:val="clear" w:color="auto" w:fill="FFFFFF"/>
              </w:rPr>
              <w:t xml:space="preserve">Zavatta G, Altieri P, Vandi G, Vicennati V, Pagotto U, </w:t>
            </w:r>
            <w:proofErr w:type="spellStart"/>
            <w:r w:rsidRPr="00661298">
              <w:rPr>
                <w:color w:val="212121"/>
                <w:sz w:val="20"/>
                <w:szCs w:val="20"/>
                <w:shd w:val="clear" w:color="auto" w:fill="FFFFFF"/>
              </w:rPr>
              <w:t>Vescini</w:t>
            </w:r>
            <w:proofErr w:type="spellEnd"/>
            <w:r w:rsidRPr="00661298">
              <w:rPr>
                <w:color w:val="212121"/>
                <w:sz w:val="20"/>
                <w:szCs w:val="20"/>
                <w:shd w:val="clear" w:color="auto" w:fill="FFFFFF"/>
              </w:rPr>
              <w:t xml:space="preserve"> F. </w:t>
            </w:r>
            <w:proofErr w:type="spellStart"/>
            <w:r w:rsidRPr="00661298">
              <w:rPr>
                <w:color w:val="212121"/>
                <w:sz w:val="20"/>
                <w:szCs w:val="20"/>
                <w:shd w:val="clear" w:color="auto" w:fill="FFFFFF"/>
              </w:rPr>
              <w:t>Phosphate</w:t>
            </w:r>
            <w:proofErr w:type="spellEnd"/>
            <w:r w:rsidRPr="00661298">
              <w:rPr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61298">
              <w:rPr>
                <w:color w:val="212121"/>
                <w:sz w:val="20"/>
                <w:szCs w:val="20"/>
                <w:shd w:val="clear" w:color="auto" w:fill="FFFFFF"/>
              </w:rPr>
              <w:t>Metabolism</w:t>
            </w:r>
            <w:proofErr w:type="spellEnd"/>
            <w:r w:rsidRPr="00661298">
              <w:rPr>
                <w:color w:val="212121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661298">
              <w:rPr>
                <w:color w:val="212121"/>
                <w:sz w:val="20"/>
                <w:szCs w:val="20"/>
                <w:shd w:val="clear" w:color="auto" w:fill="FFFFFF"/>
              </w:rPr>
              <w:t>Pathophysiology</w:t>
            </w:r>
            <w:proofErr w:type="spellEnd"/>
            <w:r w:rsidRPr="00661298">
              <w:rPr>
                <w:color w:val="212121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Pr="00661298">
              <w:rPr>
                <w:color w:val="212121"/>
                <w:sz w:val="20"/>
                <w:szCs w:val="20"/>
                <w:shd w:val="clear" w:color="auto" w:fill="FFFFFF"/>
              </w:rPr>
              <w:t>Parathyroid</w:t>
            </w:r>
            <w:proofErr w:type="spellEnd"/>
            <w:r w:rsidRPr="00661298">
              <w:rPr>
                <w:color w:val="212121"/>
                <w:sz w:val="20"/>
                <w:szCs w:val="20"/>
                <w:shd w:val="clear" w:color="auto" w:fill="FFFFFF"/>
              </w:rPr>
              <w:t xml:space="preserve"> Disorders and Endocrine </w:t>
            </w:r>
            <w:proofErr w:type="spellStart"/>
            <w:r w:rsidRPr="00661298">
              <w:rPr>
                <w:color w:val="212121"/>
                <w:sz w:val="20"/>
                <w:szCs w:val="20"/>
                <w:shd w:val="clear" w:color="auto" w:fill="FFFFFF"/>
              </w:rPr>
              <w:t>Tumors</w:t>
            </w:r>
            <w:proofErr w:type="spellEnd"/>
            <w:r w:rsidRPr="00661298">
              <w:rPr>
                <w:color w:val="212121"/>
                <w:sz w:val="20"/>
                <w:szCs w:val="20"/>
                <w:shd w:val="clear" w:color="auto" w:fill="FFFFFF"/>
              </w:rPr>
              <w:t xml:space="preserve">. Int J Mol Sci. 2021 </w:t>
            </w:r>
            <w:proofErr w:type="spellStart"/>
            <w:r w:rsidRPr="00661298">
              <w:rPr>
                <w:color w:val="212121"/>
                <w:sz w:val="20"/>
                <w:szCs w:val="20"/>
                <w:shd w:val="clear" w:color="auto" w:fill="FFFFFF"/>
              </w:rPr>
              <w:t>Nov</w:t>
            </w:r>
            <w:proofErr w:type="spellEnd"/>
            <w:r w:rsidRPr="00661298">
              <w:rPr>
                <w:color w:val="212121"/>
                <w:sz w:val="20"/>
                <w:szCs w:val="20"/>
                <w:shd w:val="clear" w:color="auto" w:fill="FFFFFF"/>
              </w:rPr>
              <w:t xml:space="preserve"> 30;22(23):12975. </w:t>
            </w:r>
            <w:proofErr w:type="spellStart"/>
            <w:r w:rsidRPr="00661298">
              <w:rPr>
                <w:color w:val="212121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661298">
              <w:rPr>
                <w:color w:val="212121"/>
                <w:sz w:val="20"/>
                <w:szCs w:val="20"/>
                <w:shd w:val="clear" w:color="auto" w:fill="FFFFFF"/>
              </w:rPr>
              <w:t>: 10.3390/ijms222312975. PMID: 34884774; PMCID: PMC8657508.</w:t>
            </w:r>
          </w:p>
        </w:tc>
      </w:tr>
      <w:tr w:rsidR="009B3ABC" w:rsidRPr="00FE6CF6" w14:paraId="130F7515" w14:textId="77777777" w:rsidTr="009B3ABC">
        <w:trPr>
          <w:trHeight w:val="592"/>
        </w:trPr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B952" w14:textId="77777777" w:rsidR="009B3ABC" w:rsidRPr="00472D5F" w:rsidRDefault="009B3ABC" w:rsidP="009B3AB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64D7" w14:textId="77777777" w:rsidR="009B3ABC" w:rsidRPr="0021533C" w:rsidRDefault="009B3ABC" w:rsidP="009B3AB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9B3ABC" w:rsidRPr="00FE6CF6" w14:paraId="2412FC2E" w14:textId="77777777" w:rsidTr="009B3ABC">
        <w:trPr>
          <w:trHeight w:val="592"/>
        </w:trPr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6C89" w14:textId="77777777" w:rsidR="009B3ABC" w:rsidRPr="00472D5F" w:rsidRDefault="009B3ABC" w:rsidP="009B3AB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AFAA" w14:textId="77777777" w:rsidR="009B3ABC" w:rsidRPr="0021533C" w:rsidRDefault="009B3ABC" w:rsidP="009B3AB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9B3ABC" w:rsidRPr="00FE6CF6" w14:paraId="2EEEE8E1" w14:textId="77777777" w:rsidTr="009B3ABC">
        <w:trPr>
          <w:trHeight w:val="592"/>
        </w:trPr>
        <w:tc>
          <w:tcPr>
            <w:tcW w:w="31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12816" w14:textId="77777777" w:rsidR="009B3ABC" w:rsidRPr="00472D5F" w:rsidRDefault="009B3ABC" w:rsidP="009B3AB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9063" w14:textId="77777777" w:rsidR="009B3ABC" w:rsidRPr="0021533C" w:rsidRDefault="009B3ABC" w:rsidP="009B3AB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9B3ABC" w:rsidRPr="0021533C" w14:paraId="06434C95" w14:textId="77777777" w:rsidTr="009B3ABC">
        <w:trPr>
          <w:trHeight w:val="417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BB15" w14:textId="77777777" w:rsidR="009B3ABC" w:rsidRPr="0021533C" w:rsidRDefault="009B3ABC" w:rsidP="009B3AB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 e n° mesi assegnista 3</w:t>
            </w: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E913" w14:textId="19526A52" w:rsidR="009B3ABC" w:rsidRPr="0021533C" w:rsidRDefault="008336C8" w:rsidP="009B3AB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GRETA GALANTE (12 MESI</w:t>
            </w:r>
            <w:r w:rsidR="0061111C">
              <w:rPr>
                <w:sz w:val="28"/>
                <w:szCs w:val="28"/>
              </w:rPr>
              <w:t>, IN CORSO)</w:t>
            </w:r>
          </w:p>
        </w:tc>
      </w:tr>
      <w:tr w:rsidR="009B3ABC" w:rsidRPr="00FE6CF6" w14:paraId="6039B419" w14:textId="77777777" w:rsidTr="009B3ABC">
        <w:trPr>
          <w:trHeight w:val="594"/>
        </w:trPr>
        <w:tc>
          <w:tcPr>
            <w:tcW w:w="3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98F7" w14:textId="77777777" w:rsidR="009B3ABC" w:rsidRPr="0021533C" w:rsidRDefault="009B3ABC" w:rsidP="009B3AB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2D5F">
              <w:rPr>
                <w:b/>
                <w:sz w:val="28"/>
                <w:szCs w:val="28"/>
              </w:rPr>
              <w:t>Max. 4</w:t>
            </w:r>
            <w:r>
              <w:rPr>
                <w:sz w:val="28"/>
                <w:szCs w:val="28"/>
              </w:rPr>
              <w:t xml:space="preserve"> lavori in </w:t>
            </w:r>
            <w:proofErr w:type="spellStart"/>
            <w:r>
              <w:rPr>
                <w:sz w:val="28"/>
                <w:szCs w:val="28"/>
              </w:rPr>
              <w:t>extenso</w:t>
            </w:r>
            <w:proofErr w:type="spellEnd"/>
            <w:r>
              <w:rPr>
                <w:sz w:val="28"/>
                <w:szCs w:val="28"/>
              </w:rPr>
              <w:t xml:space="preserve"> su riviste indicizzate </w:t>
            </w:r>
            <w:proofErr w:type="spellStart"/>
            <w:r>
              <w:rPr>
                <w:sz w:val="28"/>
                <w:szCs w:val="28"/>
              </w:rPr>
              <w:t>PubMed</w:t>
            </w:r>
            <w:proofErr w:type="spellEnd"/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1557" w14:textId="77777777" w:rsidR="009B3ABC" w:rsidRPr="0021533C" w:rsidRDefault="009B3ABC" w:rsidP="009B3AB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9B3ABC" w:rsidRPr="00FE6CF6" w14:paraId="48998CAD" w14:textId="77777777" w:rsidTr="009B3ABC">
        <w:trPr>
          <w:trHeight w:val="592"/>
        </w:trPr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08E9" w14:textId="77777777" w:rsidR="009B3ABC" w:rsidRPr="00472D5F" w:rsidRDefault="009B3ABC" w:rsidP="009B3AB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A6B6" w14:textId="77777777" w:rsidR="009B3ABC" w:rsidRPr="0021533C" w:rsidRDefault="009B3ABC" w:rsidP="009B3AB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9B3ABC" w:rsidRPr="00FE6CF6" w14:paraId="043B3C86" w14:textId="77777777" w:rsidTr="009B3ABC">
        <w:trPr>
          <w:trHeight w:val="592"/>
        </w:trPr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ACA7" w14:textId="77777777" w:rsidR="009B3ABC" w:rsidRPr="00472D5F" w:rsidRDefault="009B3ABC" w:rsidP="009B3AB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5A6A" w14:textId="77777777" w:rsidR="009B3ABC" w:rsidRPr="0021533C" w:rsidRDefault="009B3ABC" w:rsidP="009B3AB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9B3ABC" w:rsidRPr="00FE6CF6" w14:paraId="67AA947F" w14:textId="77777777" w:rsidTr="009B3ABC">
        <w:trPr>
          <w:trHeight w:val="592"/>
        </w:trPr>
        <w:tc>
          <w:tcPr>
            <w:tcW w:w="31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D9401" w14:textId="77777777" w:rsidR="009B3ABC" w:rsidRPr="00472D5F" w:rsidRDefault="009B3ABC" w:rsidP="009B3AB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D477" w14:textId="77777777" w:rsidR="009B3ABC" w:rsidRPr="0021533C" w:rsidRDefault="009B3ABC" w:rsidP="009B3AB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9B3ABC" w:rsidRPr="0021533C" w14:paraId="669EF839" w14:textId="77777777" w:rsidTr="009B3ABC">
        <w:trPr>
          <w:trHeight w:val="430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BFFB" w14:textId="77777777" w:rsidR="009B3ABC" w:rsidRPr="0021533C" w:rsidRDefault="009B3ABC" w:rsidP="009B3AB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 e n° mesi assegnista 4</w:t>
            </w: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AC9D" w14:textId="77777777" w:rsidR="009B3ABC" w:rsidRPr="0021533C" w:rsidRDefault="009B3ABC" w:rsidP="009B3AB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9B3ABC" w:rsidRPr="00FE6CF6" w14:paraId="3444E623" w14:textId="77777777" w:rsidTr="009B3ABC">
        <w:trPr>
          <w:trHeight w:val="594"/>
        </w:trPr>
        <w:tc>
          <w:tcPr>
            <w:tcW w:w="3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7FD7" w14:textId="77777777" w:rsidR="009B3ABC" w:rsidRPr="00FE6CF6" w:rsidRDefault="009B3ABC" w:rsidP="009B3AB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2D5F">
              <w:rPr>
                <w:b/>
                <w:sz w:val="28"/>
                <w:szCs w:val="28"/>
              </w:rPr>
              <w:t>Max. 4</w:t>
            </w:r>
            <w:r>
              <w:rPr>
                <w:sz w:val="28"/>
                <w:szCs w:val="28"/>
              </w:rPr>
              <w:t xml:space="preserve"> lavori in </w:t>
            </w:r>
            <w:proofErr w:type="spellStart"/>
            <w:r>
              <w:rPr>
                <w:sz w:val="28"/>
                <w:szCs w:val="28"/>
              </w:rPr>
              <w:t>extenso</w:t>
            </w:r>
            <w:proofErr w:type="spellEnd"/>
            <w:r>
              <w:rPr>
                <w:sz w:val="28"/>
                <w:szCs w:val="28"/>
              </w:rPr>
              <w:t xml:space="preserve"> su riviste indicizzate </w:t>
            </w:r>
            <w:proofErr w:type="spellStart"/>
            <w:r>
              <w:rPr>
                <w:sz w:val="28"/>
                <w:szCs w:val="28"/>
              </w:rPr>
              <w:t>PubMed</w:t>
            </w:r>
            <w:proofErr w:type="spellEnd"/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52D8" w14:textId="77777777" w:rsidR="009B3ABC" w:rsidRPr="0021533C" w:rsidRDefault="009B3ABC" w:rsidP="009B3AB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9B3ABC" w:rsidRPr="00FE6CF6" w14:paraId="085B32E8" w14:textId="77777777" w:rsidTr="009B3ABC">
        <w:trPr>
          <w:trHeight w:val="592"/>
        </w:trPr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92FF" w14:textId="77777777" w:rsidR="009B3ABC" w:rsidRPr="00472D5F" w:rsidRDefault="009B3ABC" w:rsidP="009B3AB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2904" w14:textId="77777777" w:rsidR="009B3ABC" w:rsidRPr="0021533C" w:rsidRDefault="009B3ABC" w:rsidP="009B3AB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9B3ABC" w:rsidRPr="00FE6CF6" w14:paraId="390137E3" w14:textId="77777777" w:rsidTr="009B3ABC">
        <w:trPr>
          <w:trHeight w:val="592"/>
        </w:trPr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A774" w14:textId="77777777" w:rsidR="009B3ABC" w:rsidRPr="00472D5F" w:rsidRDefault="009B3ABC" w:rsidP="009B3AB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D752" w14:textId="77777777" w:rsidR="009B3ABC" w:rsidRPr="0021533C" w:rsidRDefault="009B3ABC" w:rsidP="009B3AB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9B3ABC" w:rsidRPr="00FE6CF6" w14:paraId="6E000A91" w14:textId="77777777" w:rsidTr="009B3ABC">
        <w:trPr>
          <w:trHeight w:val="592"/>
        </w:trPr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C3CC" w14:textId="77777777" w:rsidR="009B3ABC" w:rsidRPr="00472D5F" w:rsidRDefault="009B3ABC" w:rsidP="009B3AB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5C20" w14:textId="77777777" w:rsidR="009B3ABC" w:rsidRPr="0021533C" w:rsidRDefault="009B3ABC" w:rsidP="009B3AB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</w:tbl>
    <w:p w14:paraId="12A25FCE" w14:textId="77777777" w:rsidR="008F7FAD" w:rsidRDefault="008F7FAD" w:rsidP="008F7FAD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6450"/>
      </w:tblGrid>
      <w:tr w:rsidR="00A231C4" w:rsidRPr="00FE6CF6" w14:paraId="0D31E12F" w14:textId="77777777" w:rsidTr="00D90C0A">
        <w:trPr>
          <w:trHeight w:val="59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1083" w14:textId="77777777" w:rsidR="00A231C4" w:rsidRPr="00460601" w:rsidRDefault="00A231C4" w:rsidP="00D90C0A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460601">
              <w:rPr>
                <w:b/>
                <w:sz w:val="28"/>
                <w:szCs w:val="28"/>
              </w:rPr>
              <w:t>Commissione proposta</w:t>
            </w:r>
          </w:p>
          <w:p w14:paraId="53807803" w14:textId="77777777" w:rsidR="00A231C4" w:rsidRPr="00460601" w:rsidRDefault="00A231C4" w:rsidP="00D90C0A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60601">
              <w:rPr>
                <w:sz w:val="28"/>
                <w:szCs w:val="28"/>
              </w:rPr>
              <w:t xml:space="preserve">3 commissari + </w:t>
            </w:r>
          </w:p>
          <w:p w14:paraId="0288DFD6" w14:textId="77777777" w:rsidR="00A231C4" w:rsidRPr="00FE6CF6" w:rsidRDefault="00A231C4" w:rsidP="00D90C0A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60601">
              <w:rPr>
                <w:sz w:val="28"/>
                <w:szCs w:val="28"/>
              </w:rPr>
              <w:t>1 supplente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D8ED" w14:textId="1F32C91A" w:rsidR="00A231C4" w:rsidRPr="0021533C" w:rsidRDefault="0061111C" w:rsidP="00D90C0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Uberto Pagotto</w:t>
            </w:r>
          </w:p>
        </w:tc>
      </w:tr>
      <w:tr w:rsidR="00A231C4" w:rsidRPr="00FE6CF6" w14:paraId="4941E423" w14:textId="77777777" w:rsidTr="00D90C0A">
        <w:trPr>
          <w:trHeight w:val="592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6D77" w14:textId="77777777" w:rsidR="00A231C4" w:rsidRPr="00472D5F" w:rsidRDefault="00A231C4" w:rsidP="00D90C0A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3A35" w14:textId="6BDADD45" w:rsidR="00A231C4" w:rsidRPr="0021533C" w:rsidRDefault="0061111C" w:rsidP="00D90C0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Guido Di Dalmazi</w:t>
            </w:r>
          </w:p>
        </w:tc>
      </w:tr>
      <w:tr w:rsidR="00A231C4" w:rsidRPr="00FE6CF6" w14:paraId="38452A05" w14:textId="77777777" w:rsidTr="00D90C0A">
        <w:trPr>
          <w:trHeight w:val="592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E74E" w14:textId="77777777" w:rsidR="00A231C4" w:rsidRPr="00472D5F" w:rsidRDefault="00A231C4" w:rsidP="00D90C0A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9E4F" w14:textId="6557209B" w:rsidR="00A231C4" w:rsidRPr="0021533C" w:rsidRDefault="0061111C" w:rsidP="00D90C0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Flaminia Fanelli</w:t>
            </w:r>
          </w:p>
        </w:tc>
      </w:tr>
      <w:tr w:rsidR="00A231C4" w:rsidRPr="00FE6CF6" w14:paraId="4E61F104" w14:textId="77777777" w:rsidTr="00D90C0A">
        <w:trPr>
          <w:trHeight w:val="592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DC2E" w14:textId="77777777" w:rsidR="00A231C4" w:rsidRPr="00472D5F" w:rsidRDefault="00A231C4" w:rsidP="00D90C0A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ACCD" w14:textId="3269599E" w:rsidR="00A231C4" w:rsidRPr="0021533C" w:rsidRDefault="0061111C" w:rsidP="00D90C0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Alessandra Gambineri</w:t>
            </w:r>
            <w:r>
              <w:rPr>
                <w:sz w:val="28"/>
                <w:szCs w:val="28"/>
              </w:rPr>
              <w:t xml:space="preserve"> (supplente)</w:t>
            </w:r>
          </w:p>
        </w:tc>
      </w:tr>
    </w:tbl>
    <w:p w14:paraId="1E67F74E" w14:textId="77777777" w:rsidR="00A231C4" w:rsidRDefault="00A231C4" w:rsidP="008F7FAD">
      <w:pPr>
        <w:jc w:val="both"/>
        <w:rPr>
          <w:b/>
          <w:sz w:val="16"/>
          <w:szCs w:val="16"/>
        </w:rPr>
      </w:pPr>
    </w:p>
    <w:p w14:paraId="15871E71" w14:textId="77777777" w:rsidR="00A231C4" w:rsidRDefault="00A231C4" w:rsidP="008F7FAD">
      <w:pPr>
        <w:jc w:val="both"/>
        <w:rPr>
          <w:b/>
          <w:sz w:val="16"/>
          <w:szCs w:val="16"/>
        </w:rPr>
      </w:pPr>
    </w:p>
    <w:p w14:paraId="7BA783E1" w14:textId="77777777" w:rsidR="00A231C4" w:rsidRPr="00EC0BC6" w:rsidRDefault="00A231C4" w:rsidP="008F7FAD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4"/>
        <w:gridCol w:w="1628"/>
        <w:gridCol w:w="765"/>
        <w:gridCol w:w="65"/>
        <w:gridCol w:w="846"/>
        <w:gridCol w:w="1490"/>
      </w:tblGrid>
      <w:tr w:rsidR="008F7FAD" w:rsidRPr="00F70053" w14:paraId="66D5C4A6" w14:textId="77777777" w:rsidTr="00945AFC">
        <w:tc>
          <w:tcPr>
            <w:tcW w:w="9854" w:type="dxa"/>
            <w:gridSpan w:val="6"/>
            <w:shd w:val="clear" w:color="auto" w:fill="auto"/>
            <w:vAlign w:val="center"/>
          </w:tcPr>
          <w:p w14:paraId="647B3CBB" w14:textId="77777777" w:rsidR="008F7FAD" w:rsidRPr="00D34E85" w:rsidRDefault="008F7FAD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D34E85">
              <w:rPr>
                <w:b/>
                <w:sz w:val="28"/>
                <w:szCs w:val="28"/>
              </w:rPr>
              <w:t>TITOLO DEL PROGETTO</w:t>
            </w:r>
          </w:p>
        </w:tc>
      </w:tr>
      <w:tr w:rsidR="008F7FAD" w:rsidRPr="00946994" w14:paraId="5D74ED09" w14:textId="77777777" w:rsidTr="00945AFC">
        <w:tc>
          <w:tcPr>
            <w:tcW w:w="9854" w:type="dxa"/>
            <w:gridSpan w:val="6"/>
            <w:shd w:val="clear" w:color="auto" w:fill="auto"/>
          </w:tcPr>
          <w:p w14:paraId="31E5F1AB" w14:textId="71C0C98D" w:rsidR="008F7FAD" w:rsidRPr="00C01B5D" w:rsidRDefault="00C01B5D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901FC">
              <w:rPr>
                <w:i/>
                <w:sz w:val="28"/>
              </w:rPr>
              <w:t>Analisi farmacocinetica dei glucocorticoidi mediante cromatografia liquida/ spettrometria di massa</w:t>
            </w:r>
            <w:r>
              <w:rPr>
                <w:i/>
                <w:sz w:val="28"/>
              </w:rPr>
              <w:t xml:space="preserve"> – GC-KINE-PRO</w:t>
            </w:r>
            <w:r>
              <w:rPr>
                <w:i/>
                <w:sz w:val="28"/>
              </w:rPr>
              <w:t xml:space="preserve"> - M</w:t>
            </w:r>
          </w:p>
        </w:tc>
      </w:tr>
      <w:tr w:rsidR="008F7FAD" w:rsidRPr="00F70053" w14:paraId="2DAAE0D4" w14:textId="77777777" w:rsidTr="00945AFC">
        <w:tc>
          <w:tcPr>
            <w:tcW w:w="4927" w:type="dxa"/>
            <w:shd w:val="clear" w:color="auto" w:fill="auto"/>
            <w:vAlign w:val="center"/>
          </w:tcPr>
          <w:p w14:paraId="69B649C9" w14:textId="77777777" w:rsidR="008F7FAD" w:rsidRDefault="008F7FAD" w:rsidP="00945AFC">
            <w:pPr>
              <w:spacing w:before="60" w:after="6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ASSEGNO FINANZIATO DA PROGETTO COMPETITIVO</w:t>
            </w:r>
          </w:p>
          <w:p w14:paraId="113983DB" w14:textId="77777777" w:rsidR="008F7FAD" w:rsidRPr="00F70053" w:rsidRDefault="008F7FAD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>(barrare la casella corrispondente)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684283F" w14:textId="7A8035DE" w:rsidR="008F7FAD" w:rsidRPr="00F70053" w:rsidRDefault="00C01B5D" w:rsidP="00945AF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44"/>
                <w:szCs w:val="28"/>
              </w:rPr>
              <w:t>x</w:t>
            </w:r>
            <w:r w:rsidR="008F7FAD">
              <w:rPr>
                <w:sz w:val="44"/>
                <w:szCs w:val="28"/>
              </w:rPr>
              <w:t xml:space="preserve"> </w:t>
            </w:r>
            <w:r w:rsidR="008F7FAD">
              <w:rPr>
                <w:sz w:val="28"/>
                <w:szCs w:val="28"/>
              </w:rPr>
              <w:t>SI</w:t>
            </w:r>
          </w:p>
        </w:tc>
        <w:tc>
          <w:tcPr>
            <w:tcW w:w="1723" w:type="dxa"/>
            <w:gridSpan w:val="3"/>
            <w:shd w:val="clear" w:color="auto" w:fill="auto"/>
            <w:vAlign w:val="center"/>
          </w:tcPr>
          <w:p w14:paraId="7708E1DC" w14:textId="77777777" w:rsidR="008F7FAD" w:rsidRPr="00F70053" w:rsidRDefault="008F7FAD" w:rsidP="00945AF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918FB">
              <w:rPr>
                <w:sz w:val="44"/>
                <w:szCs w:val="28"/>
              </w:rPr>
              <w:t>□</w:t>
            </w:r>
            <w:r>
              <w:rPr>
                <w:sz w:val="44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NO</w:t>
            </w:r>
          </w:p>
        </w:tc>
        <w:tc>
          <w:tcPr>
            <w:tcW w:w="1524" w:type="dxa"/>
            <w:shd w:val="pct10" w:color="FFFF00" w:fill="auto"/>
            <w:vAlign w:val="center"/>
          </w:tcPr>
          <w:p w14:paraId="2ACDA11F" w14:textId="77777777" w:rsidR="008F7FAD" w:rsidRPr="002E1FF5" w:rsidRDefault="008F7FAD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D52083">
              <w:rPr>
                <w:i/>
              </w:rPr>
              <w:t>Punti</w:t>
            </w:r>
          </w:p>
        </w:tc>
      </w:tr>
      <w:tr w:rsidR="008F7FAD" w:rsidRPr="00F70053" w14:paraId="20646E4E" w14:textId="77777777" w:rsidTr="00945AFC">
        <w:tc>
          <w:tcPr>
            <w:tcW w:w="4927" w:type="dxa"/>
            <w:shd w:val="clear" w:color="auto" w:fill="auto"/>
            <w:vAlign w:val="center"/>
          </w:tcPr>
          <w:p w14:paraId="0F7FF232" w14:textId="77777777" w:rsidR="008F7FAD" w:rsidRPr="00F70053" w:rsidRDefault="008F7FAD" w:rsidP="00945AFC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1"/>
                <w:szCs w:val="21"/>
              </w:rPr>
              <w:t xml:space="preserve">SE IL FINANZIAMENTO È COMPETITIVO L’ENTE FINANZIATORE </w:t>
            </w:r>
          </w:p>
        </w:tc>
        <w:tc>
          <w:tcPr>
            <w:tcW w:w="4927" w:type="dxa"/>
            <w:gridSpan w:val="5"/>
            <w:shd w:val="clear" w:color="auto" w:fill="auto"/>
            <w:vAlign w:val="center"/>
          </w:tcPr>
          <w:p w14:paraId="3A7B1F16" w14:textId="40B38F66" w:rsidR="008F7FAD" w:rsidRPr="00F70053" w:rsidRDefault="00B33CF3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B33CF3">
              <w:rPr>
                <w:sz w:val="28"/>
                <w:szCs w:val="28"/>
              </w:rPr>
              <w:t>Programma di Ricerca di Interesse Nazionale (PRIN) 2020 (codice 2020ERLB52_001)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Ministero Università e Ricerca</w:t>
            </w:r>
          </w:p>
        </w:tc>
      </w:tr>
      <w:tr w:rsidR="008F7FAD" w:rsidRPr="00F70053" w14:paraId="123C825F" w14:textId="77777777" w:rsidTr="00945AFC">
        <w:tc>
          <w:tcPr>
            <w:tcW w:w="4927" w:type="dxa"/>
            <w:shd w:val="clear" w:color="auto" w:fill="auto"/>
            <w:vAlign w:val="center"/>
          </w:tcPr>
          <w:p w14:paraId="47E85B9C" w14:textId="77777777" w:rsidR="008F7FAD" w:rsidRDefault="008F7FAD" w:rsidP="00945AFC">
            <w:pPr>
              <w:spacing w:before="60"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PROGETTO/ATTIVITÀ A SCOPO COMMERCIALE</w:t>
            </w:r>
          </w:p>
          <w:p w14:paraId="380F4F22" w14:textId="77777777" w:rsidR="008F7FAD" w:rsidRPr="005918FB" w:rsidRDefault="008F7FAD" w:rsidP="00945AFC">
            <w:pPr>
              <w:spacing w:before="60" w:after="60"/>
              <w:rPr>
                <w:i/>
                <w:sz w:val="21"/>
                <w:szCs w:val="21"/>
              </w:rPr>
            </w:pPr>
            <w:r w:rsidRPr="005918FB">
              <w:rPr>
                <w:i/>
                <w:sz w:val="21"/>
                <w:szCs w:val="21"/>
              </w:rPr>
              <w:t>(es. sperimentazione profit)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3E5B8E90" w14:textId="77777777" w:rsidR="008F7FAD" w:rsidRPr="00F70053" w:rsidRDefault="008F7FAD" w:rsidP="00945AF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918FB">
              <w:rPr>
                <w:sz w:val="44"/>
                <w:szCs w:val="28"/>
              </w:rPr>
              <w:t>□</w:t>
            </w:r>
            <w:r>
              <w:rPr>
                <w:sz w:val="44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SI</w:t>
            </w:r>
          </w:p>
        </w:tc>
        <w:tc>
          <w:tcPr>
            <w:tcW w:w="2464" w:type="dxa"/>
            <w:gridSpan w:val="3"/>
            <w:shd w:val="clear" w:color="auto" w:fill="auto"/>
            <w:vAlign w:val="center"/>
          </w:tcPr>
          <w:p w14:paraId="59790187" w14:textId="311B7731" w:rsidR="008F7FAD" w:rsidRPr="00F70053" w:rsidRDefault="00B33CF3" w:rsidP="00945AF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44"/>
                <w:szCs w:val="28"/>
              </w:rPr>
              <w:t>x</w:t>
            </w:r>
            <w:r w:rsidR="008F7FAD">
              <w:rPr>
                <w:sz w:val="44"/>
                <w:szCs w:val="28"/>
              </w:rPr>
              <w:t xml:space="preserve"> </w:t>
            </w:r>
            <w:r w:rsidR="008F7FAD">
              <w:rPr>
                <w:sz w:val="28"/>
                <w:szCs w:val="28"/>
              </w:rPr>
              <w:t>NO</w:t>
            </w:r>
          </w:p>
        </w:tc>
      </w:tr>
      <w:tr w:rsidR="008F7FAD" w:rsidRPr="00F70053" w14:paraId="352EF1A0" w14:textId="77777777" w:rsidTr="00945AFC">
        <w:tc>
          <w:tcPr>
            <w:tcW w:w="4927" w:type="dxa"/>
            <w:shd w:val="clear" w:color="auto" w:fill="auto"/>
            <w:vAlign w:val="center"/>
          </w:tcPr>
          <w:p w14:paraId="36622053" w14:textId="77777777" w:rsidR="008F7FAD" w:rsidRPr="00F70053" w:rsidRDefault="008F7FAD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140C4">
              <w:rPr>
                <w:sz w:val="21"/>
                <w:szCs w:val="21"/>
              </w:rPr>
              <w:t>CARATTERISTICHE DEL PROGETTO</w:t>
            </w:r>
            <w:r>
              <w:rPr>
                <w:sz w:val="21"/>
                <w:szCs w:val="21"/>
              </w:rPr>
              <w:t xml:space="preserve"> (</w:t>
            </w:r>
            <w:r w:rsidRPr="002E1FF5">
              <w:rPr>
                <w:i/>
                <w:sz w:val="21"/>
                <w:szCs w:val="21"/>
              </w:rPr>
              <w:t>biomedico/osservazionale/clinico-interventistico/multidisciplinare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4927" w:type="dxa"/>
            <w:gridSpan w:val="5"/>
            <w:shd w:val="clear" w:color="auto" w:fill="auto"/>
            <w:vAlign w:val="center"/>
          </w:tcPr>
          <w:p w14:paraId="6D7ED143" w14:textId="50831977" w:rsidR="008F7FAD" w:rsidRPr="00F70053" w:rsidRDefault="00DB4588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Osservazionale</w:t>
            </w:r>
          </w:p>
        </w:tc>
      </w:tr>
      <w:tr w:rsidR="008F7FAD" w:rsidRPr="00F70053" w14:paraId="2482DE08" w14:textId="77777777" w:rsidTr="00945AFC">
        <w:tc>
          <w:tcPr>
            <w:tcW w:w="4927" w:type="dxa"/>
            <w:shd w:val="clear" w:color="auto" w:fill="auto"/>
            <w:vAlign w:val="center"/>
          </w:tcPr>
          <w:p w14:paraId="64F84B62" w14:textId="77777777" w:rsidR="008F7FAD" w:rsidRPr="002140C4" w:rsidRDefault="008F7FAD" w:rsidP="00945AFC">
            <w:pPr>
              <w:spacing w:before="60" w:after="6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STATO DI APPROVAZIONE DEL PROGETTO DA PARTE DEL COMITATO ETICO (</w:t>
            </w:r>
            <w:r w:rsidRPr="002140C4">
              <w:rPr>
                <w:i/>
                <w:sz w:val="21"/>
                <w:szCs w:val="21"/>
              </w:rPr>
              <w:t>se necessario per il tipo di studio</w:t>
            </w:r>
            <w:r>
              <w:rPr>
                <w:i/>
                <w:sz w:val="21"/>
                <w:szCs w:val="21"/>
              </w:rPr>
              <w:t xml:space="preserve"> barrare o evidenziare la casella corrispondente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528" w:type="dxa"/>
            <w:gridSpan w:val="3"/>
            <w:shd w:val="clear" w:color="auto" w:fill="auto"/>
            <w:vAlign w:val="center"/>
          </w:tcPr>
          <w:p w14:paraId="2470DAA6" w14:textId="77777777" w:rsidR="008F7FAD" w:rsidRPr="00F70053" w:rsidRDefault="008F7FAD" w:rsidP="00945AF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918FB">
              <w:rPr>
                <w:sz w:val="44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Ottenuto</w:t>
            </w:r>
          </w:p>
        </w:tc>
        <w:tc>
          <w:tcPr>
            <w:tcW w:w="2399" w:type="dxa"/>
            <w:gridSpan w:val="2"/>
            <w:shd w:val="clear" w:color="auto" w:fill="auto"/>
            <w:vAlign w:val="center"/>
          </w:tcPr>
          <w:p w14:paraId="1880E94D" w14:textId="7642E9A8" w:rsidR="008F7FAD" w:rsidRPr="00F70053" w:rsidRDefault="007253FB" w:rsidP="00945AF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44"/>
                <w:szCs w:val="28"/>
              </w:rPr>
              <w:t>x</w:t>
            </w:r>
            <w:r w:rsidR="008F7FAD">
              <w:rPr>
                <w:sz w:val="44"/>
                <w:szCs w:val="28"/>
              </w:rPr>
              <w:t xml:space="preserve"> </w:t>
            </w:r>
            <w:r w:rsidR="008F7FAD">
              <w:rPr>
                <w:sz w:val="28"/>
                <w:szCs w:val="28"/>
              </w:rPr>
              <w:t>Da ottenere</w:t>
            </w:r>
          </w:p>
        </w:tc>
      </w:tr>
      <w:tr w:rsidR="008F7FAD" w:rsidRPr="002E1FF5" w14:paraId="13D803E3" w14:textId="77777777" w:rsidTr="00945AFC">
        <w:tc>
          <w:tcPr>
            <w:tcW w:w="8330" w:type="dxa"/>
            <w:gridSpan w:val="5"/>
            <w:shd w:val="clear" w:color="auto" w:fill="auto"/>
            <w:vAlign w:val="center"/>
          </w:tcPr>
          <w:p w14:paraId="4B8C8F14" w14:textId="77777777" w:rsidR="008F7FAD" w:rsidRPr="002E1FF5" w:rsidRDefault="008F7FAD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DESCRIZIONE</w:t>
            </w:r>
            <w:r w:rsidRPr="00D34E85">
              <w:rPr>
                <w:b/>
                <w:sz w:val="28"/>
                <w:szCs w:val="28"/>
              </w:rPr>
              <w:t xml:space="preserve"> DEL PROGETTO</w:t>
            </w:r>
            <w:r w:rsidRPr="00F70053">
              <w:rPr>
                <w:sz w:val="28"/>
                <w:szCs w:val="28"/>
              </w:rPr>
              <w:t xml:space="preserve"> </w:t>
            </w:r>
            <w:r w:rsidRPr="00F70053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max 8</w:t>
            </w:r>
            <w:r w:rsidRPr="00F70053">
              <w:rPr>
                <w:i/>
                <w:sz w:val="20"/>
                <w:szCs w:val="20"/>
              </w:rPr>
              <w:t>00 parole)</w:t>
            </w:r>
          </w:p>
        </w:tc>
        <w:tc>
          <w:tcPr>
            <w:tcW w:w="1524" w:type="dxa"/>
            <w:shd w:val="pct10" w:color="FFFF00" w:fill="auto"/>
            <w:vAlign w:val="center"/>
          </w:tcPr>
          <w:p w14:paraId="6A59D89E" w14:textId="77777777" w:rsidR="008F7FAD" w:rsidRPr="002E1FF5" w:rsidRDefault="008F7FAD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D52083">
              <w:rPr>
                <w:i/>
              </w:rPr>
              <w:t>Punti</w:t>
            </w:r>
          </w:p>
        </w:tc>
      </w:tr>
      <w:tr w:rsidR="008F7FAD" w:rsidRPr="00A4732A" w14:paraId="1C1182E8" w14:textId="77777777" w:rsidTr="00945AFC">
        <w:trPr>
          <w:trHeight w:val="4178"/>
        </w:trPr>
        <w:tc>
          <w:tcPr>
            <w:tcW w:w="9854" w:type="dxa"/>
            <w:gridSpan w:val="6"/>
            <w:shd w:val="clear" w:color="auto" w:fill="auto"/>
          </w:tcPr>
          <w:p w14:paraId="01CEE661" w14:textId="77777777" w:rsidR="00144CA7" w:rsidRDefault="007253FB" w:rsidP="00AC4BFB">
            <w:pPr>
              <w:pStyle w:val="NormaleWeb"/>
              <w:spacing w:before="0" w:beforeAutospacing="0" w:after="0" w:afterAutospacing="0"/>
              <w:jc w:val="both"/>
              <w:rPr>
                <w:b/>
                <w:sz w:val="21"/>
                <w:szCs w:val="21"/>
              </w:rPr>
            </w:pPr>
            <w:r w:rsidRPr="007253FB">
              <w:rPr>
                <w:b/>
                <w:sz w:val="21"/>
                <w:szCs w:val="21"/>
              </w:rPr>
              <w:t>Stato dell’arte.</w:t>
            </w:r>
          </w:p>
          <w:p w14:paraId="00D88F15" w14:textId="50485417" w:rsidR="007253FB" w:rsidRPr="00144CA7" w:rsidRDefault="007253FB" w:rsidP="00AC4BFB">
            <w:pPr>
              <w:pStyle w:val="NormaleWeb"/>
              <w:spacing w:before="0" w:beforeAutospacing="0" w:after="0" w:afterAutospacing="0"/>
              <w:jc w:val="both"/>
              <w:rPr>
                <w:bCs/>
                <w:sz w:val="21"/>
                <w:szCs w:val="21"/>
              </w:rPr>
            </w:pPr>
            <w:r w:rsidRPr="00144CA7">
              <w:rPr>
                <w:bCs/>
                <w:sz w:val="21"/>
                <w:szCs w:val="21"/>
              </w:rPr>
              <w:t xml:space="preserve">Il desametasone è un glucocorticoide di sintesi capace di inibire l’asse HPA mediante feedback negativo a livello centrale, ed è impiegato come test diagnostico per gli </w:t>
            </w:r>
            <w:proofErr w:type="spellStart"/>
            <w:r w:rsidRPr="00144CA7">
              <w:rPr>
                <w:bCs/>
                <w:sz w:val="21"/>
                <w:szCs w:val="21"/>
              </w:rPr>
              <w:t>ipercortisolismi</w:t>
            </w:r>
            <w:proofErr w:type="spellEnd"/>
            <w:r w:rsidRPr="00144CA7">
              <w:rPr>
                <w:bCs/>
                <w:sz w:val="21"/>
                <w:szCs w:val="21"/>
              </w:rPr>
              <w:t xml:space="preserve"> endogeni. L’attendibilità del test è minata dalla compliance del paziente e dalla presenza di fattori che influenzano l’assorbimento e la biodisponibilità del farmaco. Altri glucocorticoidi vengono somministrati come antinfiammatori e immunosoppressori in un vasto numero di patologie. Tra questi, il </w:t>
            </w:r>
            <w:proofErr w:type="spellStart"/>
            <w:r w:rsidRPr="00144CA7">
              <w:rPr>
                <w:bCs/>
                <w:sz w:val="21"/>
                <w:szCs w:val="21"/>
              </w:rPr>
              <w:t>metilprednisolone</w:t>
            </w:r>
            <w:proofErr w:type="spellEnd"/>
            <w:r w:rsidRPr="00144CA7">
              <w:rPr>
                <w:bCs/>
                <w:sz w:val="21"/>
                <w:szCs w:val="21"/>
              </w:rPr>
              <w:t xml:space="preserve"> è il farmaco di elezione per il trattamento della </w:t>
            </w:r>
            <w:proofErr w:type="spellStart"/>
            <w:r w:rsidRPr="00144CA7">
              <w:rPr>
                <w:bCs/>
                <w:sz w:val="21"/>
                <w:szCs w:val="21"/>
              </w:rPr>
              <w:t>oftalmopatia</w:t>
            </w:r>
            <w:proofErr w:type="spellEnd"/>
            <w:r w:rsidRPr="00144CA7">
              <w:rPr>
                <w:bCs/>
                <w:sz w:val="21"/>
                <w:szCs w:val="21"/>
              </w:rPr>
              <w:t xml:space="preserve"> di Graves, mentre le malattie infiammatorie croniche intestinali sono trattate con prednisone, </w:t>
            </w:r>
            <w:proofErr w:type="spellStart"/>
            <w:r w:rsidRPr="00144CA7">
              <w:rPr>
                <w:bCs/>
                <w:sz w:val="21"/>
                <w:szCs w:val="21"/>
              </w:rPr>
              <w:t>metilprednisolone</w:t>
            </w:r>
            <w:proofErr w:type="spellEnd"/>
            <w:r w:rsidRPr="00144CA7">
              <w:rPr>
                <w:bCs/>
                <w:sz w:val="21"/>
                <w:szCs w:val="21"/>
              </w:rPr>
              <w:t xml:space="preserve">, </w:t>
            </w:r>
            <w:proofErr w:type="spellStart"/>
            <w:r w:rsidRPr="00144CA7">
              <w:rPr>
                <w:bCs/>
                <w:sz w:val="21"/>
                <w:szCs w:val="21"/>
              </w:rPr>
              <w:t>beclometasone</w:t>
            </w:r>
            <w:proofErr w:type="spellEnd"/>
            <w:r w:rsidRPr="00144CA7">
              <w:rPr>
                <w:bCs/>
                <w:sz w:val="21"/>
                <w:szCs w:val="21"/>
              </w:rPr>
              <w:t xml:space="preserve"> o </w:t>
            </w:r>
            <w:proofErr w:type="spellStart"/>
            <w:r w:rsidRPr="00144CA7">
              <w:rPr>
                <w:bCs/>
                <w:sz w:val="21"/>
                <w:szCs w:val="21"/>
              </w:rPr>
              <w:t>budesonide</w:t>
            </w:r>
            <w:proofErr w:type="spellEnd"/>
            <w:r w:rsidRPr="00144CA7">
              <w:rPr>
                <w:bCs/>
                <w:sz w:val="21"/>
                <w:szCs w:val="21"/>
              </w:rPr>
              <w:t>. Molto spesso, l’utilizzo cronico di glucocorticoidi esogeni provoca effetti collaterali assimilabili ad uno stato di ipercortisolismo. Almeno in parte, ciò è dovuto alla somministrazione di dosi di farmaco eccessive. Infatti, le informazioni in letteratura circa la minima dose efficace di farmaco sono scarse. Inoltre, la cinetica dei glucocorticoidi non è ancora completamente chiara, in particolare, rispetto al ruolo che la composizione corporea, la funzionalità renale e quella epatica possono esercitare sull’assorbimento, la distribuzione, il metabolismo e la clearance. Infine, non è noto come l’assunzione di glucocorticoidi a medio e lungo termine influenzi l’asse HPA e la sua capacità di recupero al termine della terapia.</w:t>
            </w:r>
          </w:p>
          <w:p w14:paraId="74B618F2" w14:textId="77777777" w:rsidR="00144CA7" w:rsidRDefault="007253FB" w:rsidP="00AC4BFB">
            <w:pPr>
              <w:pStyle w:val="NormaleWeb"/>
              <w:spacing w:before="0" w:beforeAutospacing="0" w:after="0" w:afterAutospacing="0"/>
              <w:jc w:val="both"/>
              <w:rPr>
                <w:b/>
                <w:sz w:val="21"/>
                <w:szCs w:val="21"/>
              </w:rPr>
            </w:pPr>
            <w:r w:rsidRPr="007253FB">
              <w:rPr>
                <w:b/>
                <w:sz w:val="21"/>
                <w:szCs w:val="21"/>
              </w:rPr>
              <w:t>Obiettivi.</w:t>
            </w:r>
          </w:p>
          <w:p w14:paraId="0EF5BBEC" w14:textId="476B26A3" w:rsidR="007253FB" w:rsidRPr="00144CA7" w:rsidRDefault="007253FB" w:rsidP="00AC4BFB">
            <w:pPr>
              <w:pStyle w:val="NormaleWeb"/>
              <w:spacing w:before="0" w:beforeAutospacing="0" w:after="0" w:afterAutospacing="0"/>
              <w:jc w:val="both"/>
              <w:rPr>
                <w:bCs/>
                <w:sz w:val="21"/>
                <w:szCs w:val="21"/>
              </w:rPr>
            </w:pPr>
            <w:r w:rsidRPr="00144CA7">
              <w:rPr>
                <w:bCs/>
                <w:sz w:val="21"/>
                <w:szCs w:val="21"/>
              </w:rPr>
              <w:t xml:space="preserve">Obiettivo di questo studio è caratterizzare la farmacocinetica dei farmaci glucocorticoidi desametasone, </w:t>
            </w:r>
            <w:proofErr w:type="spellStart"/>
            <w:r w:rsidRPr="00144CA7">
              <w:rPr>
                <w:bCs/>
                <w:sz w:val="21"/>
                <w:szCs w:val="21"/>
              </w:rPr>
              <w:t>metilprednisolone</w:t>
            </w:r>
            <w:proofErr w:type="spellEnd"/>
            <w:r w:rsidRPr="00144CA7">
              <w:rPr>
                <w:bCs/>
                <w:sz w:val="21"/>
                <w:szCs w:val="21"/>
              </w:rPr>
              <w:t xml:space="preserve">, prednisone, </w:t>
            </w:r>
            <w:proofErr w:type="spellStart"/>
            <w:r w:rsidRPr="00144CA7">
              <w:rPr>
                <w:bCs/>
                <w:sz w:val="21"/>
                <w:szCs w:val="21"/>
              </w:rPr>
              <w:t>beclometasone</w:t>
            </w:r>
            <w:proofErr w:type="spellEnd"/>
            <w:r w:rsidRPr="00144CA7">
              <w:rPr>
                <w:bCs/>
                <w:sz w:val="21"/>
                <w:szCs w:val="21"/>
              </w:rPr>
              <w:t xml:space="preserve"> e </w:t>
            </w:r>
            <w:proofErr w:type="spellStart"/>
            <w:r w:rsidRPr="00144CA7">
              <w:rPr>
                <w:bCs/>
                <w:sz w:val="21"/>
                <w:szCs w:val="21"/>
              </w:rPr>
              <w:t>budesonide</w:t>
            </w:r>
            <w:proofErr w:type="spellEnd"/>
            <w:r w:rsidRPr="00144CA7">
              <w:rPr>
                <w:bCs/>
                <w:sz w:val="21"/>
                <w:szCs w:val="21"/>
              </w:rPr>
              <w:t xml:space="preserve">, somministrati nell’ambito della normale pratica clinica, in funzione di parametri fisiopatologici quali sesso, età, BMI, circonferenza vita e stato metabolico. Obiettivi secondari sono relativi alla caratterizzazione dello </w:t>
            </w:r>
            <w:proofErr w:type="spellStart"/>
            <w:r w:rsidRPr="00144CA7">
              <w:rPr>
                <w:bCs/>
                <w:sz w:val="21"/>
                <w:szCs w:val="21"/>
              </w:rPr>
              <w:t>steroidoma</w:t>
            </w:r>
            <w:proofErr w:type="spellEnd"/>
            <w:r w:rsidRPr="00144CA7">
              <w:rPr>
                <w:bCs/>
                <w:sz w:val="21"/>
                <w:szCs w:val="21"/>
              </w:rPr>
              <w:t xml:space="preserve"> nella fisiologia e nelle patologie in studio, nonché allo studio della perturbazione dello </w:t>
            </w:r>
            <w:proofErr w:type="spellStart"/>
            <w:r w:rsidRPr="00144CA7">
              <w:rPr>
                <w:bCs/>
                <w:sz w:val="21"/>
                <w:szCs w:val="21"/>
              </w:rPr>
              <w:t>steroidoma</w:t>
            </w:r>
            <w:proofErr w:type="spellEnd"/>
            <w:r w:rsidRPr="00144CA7">
              <w:rPr>
                <w:bCs/>
                <w:sz w:val="21"/>
                <w:szCs w:val="21"/>
              </w:rPr>
              <w:t xml:space="preserve"> imputabile alla terapia e all’interruzione della stessa.</w:t>
            </w:r>
          </w:p>
          <w:p w14:paraId="0C3E9F2A" w14:textId="77777777" w:rsidR="00144CA7" w:rsidRDefault="007253FB" w:rsidP="00AC4BFB">
            <w:pPr>
              <w:pStyle w:val="NormaleWeb"/>
              <w:spacing w:before="0" w:beforeAutospacing="0" w:after="0" w:afterAutospacing="0"/>
              <w:jc w:val="both"/>
              <w:rPr>
                <w:b/>
                <w:sz w:val="21"/>
                <w:szCs w:val="21"/>
              </w:rPr>
            </w:pPr>
            <w:r w:rsidRPr="007253FB">
              <w:rPr>
                <w:b/>
                <w:sz w:val="21"/>
                <w:szCs w:val="21"/>
              </w:rPr>
              <w:t>Metodi.</w:t>
            </w:r>
          </w:p>
          <w:p w14:paraId="0437156C" w14:textId="4815ED55" w:rsidR="007253FB" w:rsidRPr="00AC4BFB" w:rsidRDefault="007253FB" w:rsidP="00AC4BFB">
            <w:pPr>
              <w:pStyle w:val="NormaleWeb"/>
              <w:spacing w:before="0" w:beforeAutospacing="0" w:after="0" w:afterAutospacing="0"/>
              <w:jc w:val="both"/>
              <w:rPr>
                <w:bCs/>
                <w:sz w:val="21"/>
                <w:szCs w:val="21"/>
              </w:rPr>
            </w:pPr>
            <w:r w:rsidRPr="00AC4BFB">
              <w:rPr>
                <w:bCs/>
                <w:sz w:val="21"/>
                <w:szCs w:val="21"/>
              </w:rPr>
              <w:t xml:space="preserve">Il presente è uno studio spontaneo osservazionale farmacologico multicentrico che prevede l’arruolamento di pazienti con sospetto di patologia da ipercortisolismo endogeno, pazienti affetti da patologie che presentino sintomi e segni clinici suggestivi di ipercortisolismo, che necessitano dell’esecuzione di un test al desametasone per il loro percorso assistenziale (coorte A); pazienti affetti da </w:t>
            </w:r>
            <w:proofErr w:type="spellStart"/>
            <w:r w:rsidRPr="00AC4BFB">
              <w:rPr>
                <w:bCs/>
                <w:sz w:val="21"/>
                <w:szCs w:val="21"/>
              </w:rPr>
              <w:t>oftalmopatia</w:t>
            </w:r>
            <w:proofErr w:type="spellEnd"/>
            <w:r w:rsidRPr="00AC4BFB">
              <w:rPr>
                <w:bCs/>
                <w:sz w:val="21"/>
                <w:szCs w:val="21"/>
              </w:rPr>
              <w:t xml:space="preserve"> basedowiana che necessitino di terapia con </w:t>
            </w:r>
            <w:proofErr w:type="spellStart"/>
            <w:r w:rsidRPr="00AC4BFB">
              <w:rPr>
                <w:bCs/>
                <w:sz w:val="21"/>
                <w:szCs w:val="21"/>
              </w:rPr>
              <w:t>metilprednisolone</w:t>
            </w:r>
            <w:proofErr w:type="spellEnd"/>
            <w:r w:rsidRPr="00AC4BFB">
              <w:rPr>
                <w:bCs/>
                <w:sz w:val="21"/>
                <w:szCs w:val="21"/>
              </w:rPr>
              <w:t xml:space="preserve"> (coorte B); pazienti affetti da malattie infiammatorie croniche intestinali richiedenti il trattamento con prednisone, </w:t>
            </w:r>
            <w:proofErr w:type="spellStart"/>
            <w:r w:rsidRPr="00AC4BFB">
              <w:rPr>
                <w:bCs/>
                <w:sz w:val="21"/>
                <w:szCs w:val="21"/>
              </w:rPr>
              <w:t>metilprednisolone</w:t>
            </w:r>
            <w:proofErr w:type="spellEnd"/>
            <w:r w:rsidRPr="00AC4BFB">
              <w:rPr>
                <w:bCs/>
                <w:sz w:val="21"/>
                <w:szCs w:val="21"/>
              </w:rPr>
              <w:t xml:space="preserve">, </w:t>
            </w:r>
            <w:proofErr w:type="spellStart"/>
            <w:r w:rsidRPr="00AC4BFB">
              <w:rPr>
                <w:bCs/>
                <w:sz w:val="21"/>
                <w:szCs w:val="21"/>
              </w:rPr>
              <w:t>beclometasone</w:t>
            </w:r>
            <w:proofErr w:type="spellEnd"/>
            <w:r w:rsidRPr="00AC4BFB">
              <w:rPr>
                <w:bCs/>
                <w:sz w:val="21"/>
                <w:szCs w:val="21"/>
              </w:rPr>
              <w:t xml:space="preserve"> o </w:t>
            </w:r>
            <w:proofErr w:type="spellStart"/>
            <w:r w:rsidRPr="00AC4BFB">
              <w:rPr>
                <w:bCs/>
                <w:sz w:val="21"/>
                <w:szCs w:val="21"/>
              </w:rPr>
              <w:t>budesonide</w:t>
            </w:r>
            <w:proofErr w:type="spellEnd"/>
            <w:r w:rsidRPr="00AC4BFB">
              <w:rPr>
                <w:bCs/>
                <w:sz w:val="21"/>
                <w:szCs w:val="21"/>
              </w:rPr>
              <w:t xml:space="preserve"> (coorte C); soggetti di controllo normopeso (coorte D.1) e pazienti affetti da sovrappeso, obesità, </w:t>
            </w:r>
            <w:proofErr w:type="spellStart"/>
            <w:r w:rsidRPr="00AC4BFB">
              <w:rPr>
                <w:bCs/>
                <w:sz w:val="21"/>
                <w:szCs w:val="21"/>
              </w:rPr>
              <w:t>insulino</w:t>
            </w:r>
            <w:proofErr w:type="spellEnd"/>
            <w:r w:rsidRPr="00AC4BFB">
              <w:rPr>
                <w:bCs/>
                <w:sz w:val="21"/>
                <w:szCs w:val="21"/>
              </w:rPr>
              <w:t xml:space="preserve"> resistenza, diabete mellito di tipo 2 o steatosi epatica non alcolica che non necessitano di terapia con GC (coorte D.2). I soggetti saranno sottoposti alla </w:t>
            </w:r>
            <w:r w:rsidRPr="00AC4BFB">
              <w:rPr>
                <w:bCs/>
                <w:sz w:val="21"/>
                <w:szCs w:val="21"/>
              </w:rPr>
              <w:lastRenderedPageBreak/>
              <w:t xml:space="preserve">raccolta di campioni di saliva e sangue capillare da puntura di dito in molteplici momenti della giornata, nonché di urina e di sangue venoso. </w:t>
            </w:r>
          </w:p>
          <w:p w14:paraId="503D7031" w14:textId="77777777" w:rsidR="007253FB" w:rsidRPr="00AC4BFB" w:rsidRDefault="007253FB" w:rsidP="00AC4BFB">
            <w:pPr>
              <w:pStyle w:val="NormaleWeb"/>
              <w:spacing w:before="0" w:beforeAutospacing="0" w:after="0" w:afterAutospacing="0"/>
              <w:jc w:val="both"/>
              <w:rPr>
                <w:bCs/>
                <w:sz w:val="21"/>
                <w:szCs w:val="21"/>
              </w:rPr>
            </w:pPr>
            <w:r w:rsidRPr="00AC4BFB">
              <w:rPr>
                <w:bCs/>
                <w:sz w:val="21"/>
                <w:szCs w:val="21"/>
              </w:rPr>
              <w:t>Per conseguire gli obiettivi dello studio, verrà applicata la tecnologia innovativa di cromatografia liquida – spettrometria di massa, mirata a identificare e quantificare pannelli di steroidi endogeni ed esogeni in campioni di saliva, sangue capillare essiccato, urina e siero.</w:t>
            </w:r>
          </w:p>
          <w:p w14:paraId="50788EE5" w14:textId="77777777" w:rsidR="00AC4BFB" w:rsidRDefault="007253FB" w:rsidP="00AC4BFB">
            <w:pPr>
              <w:pStyle w:val="NormaleWeb"/>
              <w:spacing w:before="0" w:beforeAutospacing="0" w:after="0" w:afterAutospacing="0"/>
              <w:jc w:val="both"/>
              <w:rPr>
                <w:b/>
                <w:sz w:val="21"/>
                <w:szCs w:val="21"/>
              </w:rPr>
            </w:pPr>
            <w:r w:rsidRPr="007253FB">
              <w:rPr>
                <w:b/>
                <w:sz w:val="21"/>
                <w:szCs w:val="21"/>
              </w:rPr>
              <w:t>Risultati attesi.</w:t>
            </w:r>
          </w:p>
          <w:p w14:paraId="6DCAE71F" w14:textId="533FC515" w:rsidR="008F7FAD" w:rsidRPr="00AC4BFB" w:rsidRDefault="007253FB" w:rsidP="00AC4BFB">
            <w:pPr>
              <w:pStyle w:val="NormaleWeb"/>
              <w:spacing w:before="0" w:beforeAutospacing="0" w:after="0" w:afterAutospacing="0"/>
              <w:jc w:val="both"/>
              <w:rPr>
                <w:bCs/>
                <w:sz w:val="21"/>
                <w:szCs w:val="21"/>
              </w:rPr>
            </w:pPr>
            <w:r w:rsidRPr="00AC4BFB">
              <w:rPr>
                <w:bCs/>
                <w:sz w:val="21"/>
                <w:szCs w:val="21"/>
              </w:rPr>
              <w:t xml:space="preserve">La LC-MS permetterà di misurare in modo sensibile e accurato i livelli di farmaco e gli ormoni steroidei endogeni in diversi fluidi biologici quali saliva, sangue capillare e venoso e urina. La caratterizzazione dell’assetto steroidei in diversi fluidi permetterà di avere informazioni tra loro complementari circa la secrezione totale, la frazione attiva e l’esposizione giornaliera. La raccolta di prelievi multipli a tempi ben definiti permetterà di caratterizzare la farmacocinetica dei farmaci glucocorticoidi in funzione dei principali fattori fisiologici e patologici. Sulla base di tali informazioni, verrà valutata l’associazione del BMI e di altri parametri metabolici con i livelli circolanti di </w:t>
            </w:r>
            <w:proofErr w:type="spellStart"/>
            <w:r w:rsidRPr="00AC4BFB">
              <w:rPr>
                <w:bCs/>
                <w:sz w:val="21"/>
                <w:szCs w:val="21"/>
              </w:rPr>
              <w:t>desametazone</w:t>
            </w:r>
            <w:proofErr w:type="spellEnd"/>
            <w:r w:rsidRPr="00AC4BFB">
              <w:rPr>
                <w:bCs/>
                <w:sz w:val="21"/>
                <w:szCs w:val="21"/>
              </w:rPr>
              <w:t xml:space="preserve"> e cortisolemia, nell’ambito del test al </w:t>
            </w:r>
            <w:proofErr w:type="spellStart"/>
            <w:r w:rsidRPr="00AC4BFB">
              <w:rPr>
                <w:bCs/>
                <w:sz w:val="21"/>
                <w:szCs w:val="21"/>
              </w:rPr>
              <w:t>desametazone</w:t>
            </w:r>
            <w:proofErr w:type="spellEnd"/>
            <w:r w:rsidRPr="00AC4BFB">
              <w:rPr>
                <w:bCs/>
                <w:sz w:val="21"/>
                <w:szCs w:val="21"/>
              </w:rPr>
              <w:t xml:space="preserve">. Nelle patologie che richiedono trattamento a medio termine con glucocorticoidi, verranno definiti dei modelli di farmacocinetica per definire uno scenario di esposizione-effetto volto ad identificare la probabilità di raggiungere un obiettivo farmacodinamico ad un dato regime posologico. Infine, la caratterizzazione dello </w:t>
            </w:r>
            <w:proofErr w:type="spellStart"/>
            <w:r w:rsidRPr="00AC4BFB">
              <w:rPr>
                <w:bCs/>
                <w:sz w:val="21"/>
                <w:szCs w:val="21"/>
              </w:rPr>
              <w:t>steroidoma</w:t>
            </w:r>
            <w:proofErr w:type="spellEnd"/>
            <w:r w:rsidRPr="00AC4BFB">
              <w:rPr>
                <w:bCs/>
                <w:sz w:val="21"/>
                <w:szCs w:val="21"/>
              </w:rPr>
              <w:t xml:space="preserve"> in soggetti che non assumono farmaci, siano essi sani o affetti da eccesso di peso, </w:t>
            </w:r>
            <w:proofErr w:type="spellStart"/>
            <w:r w:rsidRPr="00AC4BFB">
              <w:rPr>
                <w:bCs/>
                <w:sz w:val="21"/>
                <w:szCs w:val="21"/>
              </w:rPr>
              <w:t>insulino</w:t>
            </w:r>
            <w:proofErr w:type="spellEnd"/>
            <w:r w:rsidRPr="00AC4BFB">
              <w:rPr>
                <w:bCs/>
                <w:sz w:val="21"/>
                <w:szCs w:val="21"/>
              </w:rPr>
              <w:t xml:space="preserve"> resistenza o diabete tipo 2, steatosi epatica non alcolica, permetterà di valutare la perturbazione del sistema steroideo nelle patologie in studio, nonché l’impatto dei farmaci glucocorticoidi assunti a medio/lungo termine sullo stesso e sulla ripresa dell’asse HPA al termine del periodo terapeutico. </w:t>
            </w:r>
          </w:p>
        </w:tc>
      </w:tr>
      <w:tr w:rsidR="008F7FAD" w:rsidRPr="002E1FF5" w14:paraId="048F57B8" w14:textId="77777777" w:rsidTr="00945AFC">
        <w:tc>
          <w:tcPr>
            <w:tcW w:w="8330" w:type="dxa"/>
            <w:gridSpan w:val="5"/>
            <w:shd w:val="clear" w:color="auto" w:fill="auto"/>
            <w:vAlign w:val="center"/>
          </w:tcPr>
          <w:p w14:paraId="66D7AE75" w14:textId="77777777" w:rsidR="008F7FAD" w:rsidRDefault="008F7FAD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DESCRIZIONE</w:t>
            </w:r>
            <w:r w:rsidRPr="007A1E3A">
              <w:rPr>
                <w:b/>
                <w:sz w:val="28"/>
                <w:szCs w:val="28"/>
              </w:rPr>
              <w:t xml:space="preserve"> DELLE ATTIVITÀ DELL’ASSEGNISTA</w:t>
            </w:r>
            <w:r w:rsidRPr="00F70053">
              <w:rPr>
                <w:sz w:val="28"/>
                <w:szCs w:val="28"/>
              </w:rPr>
              <w:t xml:space="preserve"> </w:t>
            </w:r>
          </w:p>
          <w:p w14:paraId="7B4CB6D6" w14:textId="77777777" w:rsidR="008F7FAD" w:rsidRDefault="008F7FAD" w:rsidP="00945AFC">
            <w:pPr>
              <w:spacing w:before="60" w:after="60"/>
              <w:jc w:val="both"/>
              <w:rPr>
                <w:i/>
                <w:sz w:val="20"/>
                <w:szCs w:val="20"/>
              </w:rPr>
            </w:pPr>
            <w:r w:rsidRPr="00F70053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per i </w:t>
            </w:r>
            <w:r w:rsidRPr="00DB1934">
              <w:rPr>
                <w:b/>
                <w:i/>
                <w:sz w:val="20"/>
                <w:szCs w:val="20"/>
                <w:u w:val="single"/>
              </w:rPr>
              <w:t>nuovi</w:t>
            </w:r>
            <w:r>
              <w:rPr>
                <w:i/>
                <w:sz w:val="20"/>
                <w:szCs w:val="20"/>
              </w:rPr>
              <w:t xml:space="preserve"> assegni: max 400</w:t>
            </w:r>
            <w:r w:rsidRPr="00F70053">
              <w:rPr>
                <w:i/>
                <w:sz w:val="20"/>
                <w:szCs w:val="20"/>
              </w:rPr>
              <w:t xml:space="preserve"> parole</w:t>
            </w:r>
            <w:r>
              <w:rPr>
                <w:i/>
                <w:sz w:val="20"/>
                <w:szCs w:val="20"/>
              </w:rPr>
              <w:t xml:space="preserve">; competenze richieste, </w:t>
            </w:r>
            <w:r w:rsidRPr="004B08A3">
              <w:rPr>
                <w:i/>
                <w:sz w:val="20"/>
                <w:szCs w:val="20"/>
              </w:rPr>
              <w:t>scans</w:t>
            </w:r>
            <w:r>
              <w:rPr>
                <w:i/>
                <w:sz w:val="20"/>
                <w:szCs w:val="20"/>
              </w:rPr>
              <w:t xml:space="preserve">ione temporale della formazione, </w:t>
            </w:r>
            <w:r w:rsidRPr="004B08A3">
              <w:rPr>
                <w:i/>
                <w:sz w:val="20"/>
                <w:szCs w:val="20"/>
              </w:rPr>
              <w:t>scansione temporale dell’attivi</w:t>
            </w:r>
            <w:r>
              <w:rPr>
                <w:i/>
                <w:sz w:val="20"/>
                <w:szCs w:val="20"/>
              </w:rPr>
              <w:t xml:space="preserve">tà, </w:t>
            </w:r>
            <w:r w:rsidRPr="004B08A3">
              <w:rPr>
                <w:i/>
                <w:sz w:val="20"/>
                <w:szCs w:val="20"/>
              </w:rPr>
              <w:t>obiettivi primari e secondari</w:t>
            </w:r>
            <w:r w:rsidRPr="00F70053">
              <w:rPr>
                <w:i/>
                <w:sz w:val="20"/>
                <w:szCs w:val="20"/>
              </w:rPr>
              <w:t>)</w:t>
            </w:r>
          </w:p>
          <w:p w14:paraId="490F2501" w14:textId="77777777" w:rsidR="008F7FAD" w:rsidRPr="00DB1934" w:rsidRDefault="008F7FAD" w:rsidP="00945AFC">
            <w:pPr>
              <w:spacing w:before="60" w:after="6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(per i </w:t>
            </w:r>
            <w:r w:rsidRPr="00DB1934">
              <w:rPr>
                <w:b/>
                <w:i/>
                <w:sz w:val="20"/>
                <w:szCs w:val="20"/>
                <w:u w:val="single"/>
              </w:rPr>
              <w:t>rinnovi</w:t>
            </w:r>
            <w:r>
              <w:rPr>
                <w:i/>
                <w:sz w:val="20"/>
                <w:szCs w:val="20"/>
              </w:rPr>
              <w:t xml:space="preserve">: max 600 parole – da integrare con la relazione dell’assegnista; formazione raggiunta, attività effettuata, </w:t>
            </w:r>
            <w:r w:rsidRPr="004B08A3">
              <w:rPr>
                <w:i/>
                <w:sz w:val="20"/>
                <w:szCs w:val="20"/>
              </w:rPr>
              <w:t xml:space="preserve">obiettivi </w:t>
            </w:r>
            <w:r>
              <w:rPr>
                <w:i/>
                <w:sz w:val="20"/>
                <w:szCs w:val="20"/>
              </w:rPr>
              <w:t xml:space="preserve">raggiunti/competenze acquisite, </w:t>
            </w:r>
            <w:r w:rsidRPr="004B08A3">
              <w:rPr>
                <w:i/>
                <w:sz w:val="20"/>
                <w:szCs w:val="20"/>
              </w:rPr>
              <w:t>formazione anco</w:t>
            </w:r>
            <w:r>
              <w:rPr>
                <w:i/>
                <w:sz w:val="20"/>
                <w:szCs w:val="20"/>
              </w:rPr>
              <w:t xml:space="preserve">ra da acquisire (se pertinente), </w:t>
            </w:r>
            <w:r w:rsidRPr="004B08A3">
              <w:rPr>
                <w:i/>
                <w:sz w:val="20"/>
                <w:szCs w:val="20"/>
              </w:rPr>
              <w:t>scansione temporale dell’attività durante il rinnovo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24" w:type="dxa"/>
            <w:shd w:val="pct10" w:color="FFFF00" w:fill="auto"/>
            <w:vAlign w:val="center"/>
          </w:tcPr>
          <w:p w14:paraId="650B7B8A" w14:textId="77777777" w:rsidR="008F7FAD" w:rsidRPr="002E1FF5" w:rsidRDefault="008F7FAD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D52083">
              <w:rPr>
                <w:i/>
              </w:rPr>
              <w:t>Punti</w:t>
            </w:r>
          </w:p>
        </w:tc>
      </w:tr>
      <w:tr w:rsidR="008F7FAD" w:rsidRPr="00A4732A" w14:paraId="44D64D99" w14:textId="77777777" w:rsidTr="00945AFC">
        <w:trPr>
          <w:trHeight w:val="3090"/>
        </w:trPr>
        <w:tc>
          <w:tcPr>
            <w:tcW w:w="9854" w:type="dxa"/>
            <w:gridSpan w:val="6"/>
            <w:shd w:val="clear" w:color="auto" w:fill="auto"/>
          </w:tcPr>
          <w:p w14:paraId="65B0FA52" w14:textId="77777777" w:rsidR="008F7FAD" w:rsidRPr="00944F91" w:rsidRDefault="00725A59" w:rsidP="00945AFC">
            <w:pPr>
              <w:pStyle w:val="NormaleWeb"/>
              <w:spacing w:before="0" w:beforeAutospacing="0" w:after="120" w:afterAutospacing="0"/>
              <w:jc w:val="both"/>
              <w:rPr>
                <w:color w:val="000000" w:themeColor="text1"/>
                <w:sz w:val="21"/>
                <w:szCs w:val="21"/>
              </w:rPr>
            </w:pPr>
            <w:r w:rsidRPr="00944F91">
              <w:rPr>
                <w:color w:val="000000" w:themeColor="text1"/>
                <w:sz w:val="21"/>
                <w:szCs w:val="21"/>
              </w:rPr>
              <w:t>Si richiede una figura di Laureato in Medicina e Chirurgia con Specializzazione in Endocrinologia.</w:t>
            </w:r>
          </w:p>
          <w:p w14:paraId="42C0197E" w14:textId="77777777" w:rsidR="00725A59" w:rsidRPr="00944F91" w:rsidRDefault="00725A59" w:rsidP="00945AFC">
            <w:pPr>
              <w:pStyle w:val="NormaleWeb"/>
              <w:spacing w:before="0" w:beforeAutospacing="0" w:after="120" w:afterAutospacing="0"/>
              <w:jc w:val="both"/>
              <w:rPr>
                <w:color w:val="000000" w:themeColor="text1"/>
                <w:sz w:val="21"/>
                <w:szCs w:val="21"/>
              </w:rPr>
            </w:pPr>
            <w:r w:rsidRPr="00944F91">
              <w:rPr>
                <w:color w:val="000000" w:themeColor="text1"/>
                <w:sz w:val="21"/>
                <w:szCs w:val="21"/>
              </w:rPr>
              <w:t>Le attività richieste all’assegnista per i primi 12 mesi sono le seguenti:</w:t>
            </w:r>
          </w:p>
          <w:p w14:paraId="385745DC" w14:textId="77777777" w:rsidR="00725A59" w:rsidRPr="00944F91" w:rsidRDefault="00642B83" w:rsidP="00725A59">
            <w:pPr>
              <w:pStyle w:val="NormaleWeb"/>
              <w:numPr>
                <w:ilvl w:val="0"/>
                <w:numId w:val="13"/>
              </w:numPr>
              <w:spacing w:before="0" w:beforeAutospacing="0" w:after="120" w:afterAutospacing="0"/>
              <w:jc w:val="both"/>
              <w:rPr>
                <w:color w:val="000000" w:themeColor="text1"/>
                <w:sz w:val="21"/>
                <w:szCs w:val="21"/>
              </w:rPr>
            </w:pPr>
            <w:r w:rsidRPr="00944F91">
              <w:rPr>
                <w:color w:val="000000" w:themeColor="text1"/>
                <w:sz w:val="21"/>
                <w:szCs w:val="21"/>
              </w:rPr>
              <w:t>Supporto alla preparazione della documentazione per il comitato etico</w:t>
            </w:r>
          </w:p>
          <w:p w14:paraId="09161A58" w14:textId="77777777" w:rsidR="00642B83" w:rsidRPr="00944F91" w:rsidRDefault="00642B83" w:rsidP="00725A59">
            <w:pPr>
              <w:pStyle w:val="NormaleWeb"/>
              <w:numPr>
                <w:ilvl w:val="0"/>
                <w:numId w:val="13"/>
              </w:numPr>
              <w:spacing w:before="0" w:beforeAutospacing="0" w:after="120" w:afterAutospacing="0"/>
              <w:jc w:val="both"/>
              <w:rPr>
                <w:color w:val="000000" w:themeColor="text1"/>
                <w:sz w:val="21"/>
                <w:szCs w:val="21"/>
              </w:rPr>
            </w:pPr>
            <w:r w:rsidRPr="00944F91">
              <w:rPr>
                <w:color w:val="000000" w:themeColor="text1"/>
                <w:sz w:val="21"/>
                <w:szCs w:val="21"/>
              </w:rPr>
              <w:t>Raccolta del materiale biologico</w:t>
            </w:r>
            <w:r w:rsidR="00944F91" w:rsidRPr="00944F91">
              <w:rPr>
                <w:color w:val="000000" w:themeColor="text1"/>
                <w:sz w:val="21"/>
                <w:szCs w:val="21"/>
              </w:rPr>
              <w:t xml:space="preserve"> per le coorti A, B e C</w:t>
            </w:r>
          </w:p>
          <w:p w14:paraId="4C75D97E" w14:textId="77777777" w:rsidR="00944F91" w:rsidRPr="00944F91" w:rsidRDefault="00944F91" w:rsidP="00725A59">
            <w:pPr>
              <w:pStyle w:val="NormaleWeb"/>
              <w:numPr>
                <w:ilvl w:val="0"/>
                <w:numId w:val="13"/>
              </w:numPr>
              <w:spacing w:before="0" w:beforeAutospacing="0" w:after="120" w:afterAutospacing="0"/>
              <w:jc w:val="both"/>
              <w:rPr>
                <w:color w:val="000000" w:themeColor="text1"/>
                <w:sz w:val="21"/>
                <w:szCs w:val="21"/>
              </w:rPr>
            </w:pPr>
            <w:r w:rsidRPr="00944F91">
              <w:rPr>
                <w:color w:val="000000" w:themeColor="text1"/>
                <w:sz w:val="21"/>
                <w:szCs w:val="21"/>
              </w:rPr>
              <w:t>Valutazioni cliniche dei pazienti</w:t>
            </w:r>
          </w:p>
          <w:p w14:paraId="0A24E79E" w14:textId="54A43A63" w:rsidR="00944F91" w:rsidRPr="00070031" w:rsidRDefault="00944F91" w:rsidP="00725A59">
            <w:pPr>
              <w:pStyle w:val="NormaleWeb"/>
              <w:numPr>
                <w:ilvl w:val="0"/>
                <w:numId w:val="13"/>
              </w:numPr>
              <w:spacing w:before="0" w:beforeAutospacing="0" w:after="120" w:afterAutospacing="0"/>
              <w:jc w:val="both"/>
              <w:rPr>
                <w:color w:val="FF0000"/>
                <w:sz w:val="21"/>
                <w:szCs w:val="21"/>
              </w:rPr>
            </w:pPr>
            <w:r w:rsidRPr="00944F91">
              <w:rPr>
                <w:color w:val="000000" w:themeColor="text1"/>
                <w:sz w:val="21"/>
                <w:szCs w:val="21"/>
              </w:rPr>
              <w:t>Creazione e compilazione del database di studio</w:t>
            </w:r>
            <w:r w:rsidR="005C7FC7">
              <w:rPr>
                <w:color w:val="000000" w:themeColor="text1"/>
                <w:sz w:val="21"/>
                <w:szCs w:val="21"/>
              </w:rPr>
              <w:t>.</w:t>
            </w:r>
          </w:p>
        </w:tc>
      </w:tr>
    </w:tbl>
    <w:p w14:paraId="6C6BBF12" w14:textId="77777777" w:rsidR="008F7FAD" w:rsidRDefault="008F7FAD" w:rsidP="008F7FAD">
      <w:pPr>
        <w:jc w:val="both"/>
        <w:rPr>
          <w:color w:val="FF0000"/>
        </w:rPr>
      </w:pPr>
      <w:r>
        <w:rPr>
          <w:color w:val="FF0000"/>
        </w:rPr>
        <w:t>SE RINNOVO, SI RICORDA DI ALLEGARE ANCHE LA RELAZIONE DELL’ASSEGNISTA</w:t>
      </w:r>
      <w:r w:rsidR="00052630">
        <w:rPr>
          <w:color w:val="FF0000"/>
        </w:rPr>
        <w:t xml:space="preserve"> CON LA SUA PRODUZIONE SCIENTIFICA</w:t>
      </w:r>
      <w:r>
        <w:rPr>
          <w:color w:val="FF0000"/>
        </w:rPr>
        <w:t>.</w:t>
      </w:r>
    </w:p>
    <w:p w14:paraId="7C8E033B" w14:textId="77777777" w:rsidR="008F7FAD" w:rsidRPr="00935A0A" w:rsidRDefault="008F7FAD" w:rsidP="008F7FAD">
      <w:pPr>
        <w:rPr>
          <w:color w:val="FF0000"/>
          <w:sz w:val="18"/>
        </w:rPr>
      </w:pPr>
    </w:p>
    <w:p w14:paraId="6F1EEBA3" w14:textId="77777777" w:rsidR="008F7FAD" w:rsidRPr="005918FB" w:rsidRDefault="008F7FAD" w:rsidP="008F7FAD">
      <w:pPr>
        <w:spacing w:after="60"/>
        <w:ind w:left="720"/>
        <w:jc w:val="right"/>
        <w:rPr>
          <w:i/>
        </w:rPr>
      </w:pPr>
      <w:r>
        <w:rPr>
          <w:i/>
        </w:rPr>
        <w:t>Scheda attività assistenziale (se prevista)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603B8" w:rsidRPr="00E603B8" w14:paraId="6AEB962C" w14:textId="77777777" w:rsidTr="0034167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BA23" w14:textId="77777777" w:rsidR="00341677" w:rsidRPr="00E603B8" w:rsidRDefault="00341677" w:rsidP="00D90C0A">
            <w:pPr>
              <w:spacing w:before="60" w:after="60"/>
              <w:jc w:val="both"/>
              <w:rPr>
                <w:b/>
                <w:color w:val="FF0000"/>
              </w:rPr>
            </w:pPr>
            <w:r w:rsidRPr="00E603B8">
              <w:rPr>
                <w:b/>
                <w:color w:val="FF0000"/>
              </w:rPr>
              <w:t>ATTIVITÀ ASSISTENZIALI DELL’ASSEGNISTA/ N. ORE SETTIMANA</w:t>
            </w:r>
          </w:p>
        </w:tc>
      </w:tr>
      <w:tr w:rsidR="00E603B8" w:rsidRPr="00E603B8" w14:paraId="20E9CA42" w14:textId="77777777" w:rsidTr="0034167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FE6F" w14:textId="3CA57072" w:rsidR="00341677" w:rsidRPr="00E603B8" w:rsidRDefault="005C7FC7" w:rsidP="00D90C0A">
            <w:pPr>
              <w:pStyle w:val="NormaleWeb"/>
              <w:spacing w:before="0" w:beforeAutospacing="0" w:after="120" w:afterAutospacing="0"/>
              <w:jc w:val="both"/>
              <w:rPr>
                <w:color w:val="FF0000"/>
                <w:sz w:val="21"/>
                <w:szCs w:val="21"/>
              </w:rPr>
            </w:pPr>
            <w:r w:rsidRPr="005C7FC7">
              <w:rPr>
                <w:color w:val="000000" w:themeColor="text1"/>
                <w:sz w:val="21"/>
                <w:szCs w:val="21"/>
              </w:rPr>
              <w:t>Valutazioni cliniche dei pazienti: 18 ore a settimana</w:t>
            </w:r>
          </w:p>
        </w:tc>
      </w:tr>
      <w:tr w:rsidR="00E603B8" w:rsidRPr="00E603B8" w14:paraId="76C48DE9" w14:textId="77777777" w:rsidTr="0034167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090A" w14:textId="77777777" w:rsidR="00341677" w:rsidRPr="00E603B8" w:rsidRDefault="00341677" w:rsidP="00D90C0A">
            <w:pPr>
              <w:pStyle w:val="NormaleWeb"/>
              <w:spacing w:before="0" w:beforeAutospacing="0" w:after="120" w:afterAutospacing="0"/>
              <w:jc w:val="both"/>
              <w:rPr>
                <w:color w:val="FF0000"/>
                <w:sz w:val="21"/>
                <w:szCs w:val="21"/>
              </w:rPr>
            </w:pPr>
          </w:p>
        </w:tc>
      </w:tr>
      <w:tr w:rsidR="00E603B8" w:rsidRPr="00E603B8" w14:paraId="25B1E51E" w14:textId="77777777" w:rsidTr="0034167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1635" w14:textId="77777777" w:rsidR="00341677" w:rsidRPr="00E603B8" w:rsidRDefault="00341677" w:rsidP="00D90C0A">
            <w:pPr>
              <w:pStyle w:val="NormaleWeb"/>
              <w:spacing w:before="0" w:beforeAutospacing="0" w:after="120" w:afterAutospacing="0"/>
              <w:jc w:val="both"/>
              <w:rPr>
                <w:color w:val="FF0000"/>
                <w:sz w:val="21"/>
                <w:szCs w:val="21"/>
              </w:rPr>
            </w:pPr>
          </w:p>
        </w:tc>
      </w:tr>
      <w:tr w:rsidR="00E603B8" w:rsidRPr="00E603B8" w14:paraId="4BABBBB2" w14:textId="77777777" w:rsidTr="0034167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7F19" w14:textId="77777777" w:rsidR="00341677" w:rsidRPr="00E603B8" w:rsidRDefault="00341677" w:rsidP="00D90C0A">
            <w:pPr>
              <w:pStyle w:val="NormaleWeb"/>
              <w:spacing w:before="0" w:beforeAutospacing="0" w:after="120" w:afterAutospacing="0"/>
              <w:jc w:val="both"/>
              <w:rPr>
                <w:color w:val="FF0000"/>
                <w:sz w:val="21"/>
                <w:szCs w:val="21"/>
              </w:rPr>
            </w:pPr>
            <w:r w:rsidRPr="00E603B8">
              <w:rPr>
                <w:color w:val="FF0000"/>
              </w:rPr>
              <w:t>AZIENDA SANITARIA PRESSO CUI SI SVOLGERÀ L’ATTIVITÀ</w:t>
            </w:r>
          </w:p>
        </w:tc>
      </w:tr>
      <w:tr w:rsidR="00341677" w14:paraId="0FA91781" w14:textId="77777777" w:rsidTr="0034167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C17A" w14:textId="77777777" w:rsidR="00B76D3C" w:rsidRDefault="00B76D3C" w:rsidP="00B76D3C">
            <w:pPr>
              <w:pStyle w:val="NormaleWeb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IRCCS Policlinico S. Orsola, UOC di Endocrinologia e di Prevenzione e Cura del Diabete</w:t>
            </w:r>
          </w:p>
          <w:p w14:paraId="3CB1429B" w14:textId="77777777" w:rsidR="00B76D3C" w:rsidRPr="00CA0206" w:rsidRDefault="00B76D3C" w:rsidP="00B76D3C">
            <w:pPr>
              <w:pStyle w:val="NormaleWeb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CA0206">
              <w:rPr>
                <w:sz w:val="21"/>
                <w:szCs w:val="21"/>
              </w:rPr>
              <w:t>Ambulatorio di Endocrinologia Casa della Salute San Donato San Vitale</w:t>
            </w:r>
          </w:p>
          <w:p w14:paraId="164C7ECC" w14:textId="7755139D" w:rsidR="00341677" w:rsidRDefault="00B76D3C" w:rsidP="00B76D3C">
            <w:pPr>
              <w:pStyle w:val="NormaleWeb"/>
              <w:spacing w:before="0" w:beforeAutospacing="0" w:after="120" w:afterAutospacing="0"/>
              <w:jc w:val="both"/>
              <w:rPr>
                <w:sz w:val="21"/>
                <w:szCs w:val="21"/>
              </w:rPr>
            </w:pPr>
            <w:r w:rsidRPr="00CA0206">
              <w:rPr>
                <w:sz w:val="21"/>
                <w:szCs w:val="21"/>
              </w:rPr>
              <w:t>Ambulatorio di Endocrinologia Casa della Salute Poliambulatorio Pilastro</w:t>
            </w:r>
          </w:p>
        </w:tc>
      </w:tr>
    </w:tbl>
    <w:p w14:paraId="64F75699" w14:textId="77777777" w:rsidR="008F7FAD" w:rsidRDefault="008F7FAD" w:rsidP="008F7FAD">
      <w:pPr>
        <w:jc w:val="both"/>
      </w:pPr>
      <w:r w:rsidRPr="00946994">
        <w:t xml:space="preserve">Si ricorda che, come previsto dagli Accordi sull’impiego nell’attività assistenziale dei Titolari di assegni di ricerca, sottoscritti tra l’Università di Bologna e le Aziende Ospedaliere di riferimento, una volta stipulato il contratto con il vincitore della selezione, </w:t>
      </w:r>
      <w:r w:rsidRPr="00460601">
        <w:t>il tutor deve</w:t>
      </w:r>
      <w:r w:rsidRPr="00946994">
        <w:t xml:space="preserve"> consegnare alla Direzione Medica Ospedaliera la relativa modulistica, nella quale andranno riportate le attività qui segnalate.</w:t>
      </w:r>
    </w:p>
    <w:p w14:paraId="7FC22842" w14:textId="77777777" w:rsidR="00984211" w:rsidRDefault="00984211" w:rsidP="008F7FAD">
      <w:pPr>
        <w:jc w:val="both"/>
      </w:pPr>
    </w:p>
    <w:p w14:paraId="568F75C5" w14:textId="77777777" w:rsidR="00984211" w:rsidRDefault="00984211" w:rsidP="008F7FAD">
      <w:pPr>
        <w:jc w:val="both"/>
      </w:pPr>
    </w:p>
    <w:p w14:paraId="58A5E1E7" w14:textId="77777777" w:rsidR="00984211" w:rsidRPr="00C757B5" w:rsidRDefault="00984211" w:rsidP="008F7FAD">
      <w:pPr>
        <w:jc w:val="both"/>
        <w:rPr>
          <w:rFonts w:ascii="Trajan" w:hAnsi="Trajan"/>
        </w:rPr>
      </w:pPr>
    </w:p>
    <w:sectPr w:rsidR="00984211" w:rsidRPr="00C757B5" w:rsidSect="00BE1C84">
      <w:headerReference w:type="default" r:id="rId7"/>
      <w:footerReference w:type="default" r:id="rId8"/>
      <w:pgSz w:w="11906" w:h="16838"/>
      <w:pgMar w:top="1134" w:right="1134" w:bottom="567" w:left="1134" w:header="357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FC7E1" w14:textId="77777777" w:rsidR="00A871DD" w:rsidRDefault="00A871DD">
      <w:r>
        <w:separator/>
      </w:r>
    </w:p>
  </w:endnote>
  <w:endnote w:type="continuationSeparator" w:id="0">
    <w:p w14:paraId="6D689988" w14:textId="77777777" w:rsidR="00A871DD" w:rsidRDefault="00A8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raj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16772" w14:textId="77777777" w:rsidR="00BE1C84" w:rsidRPr="008A26FE" w:rsidRDefault="00BE1C84" w:rsidP="00CB5C37">
    <w:pPr>
      <w:pStyle w:val="Pidipagina"/>
      <w:tabs>
        <w:tab w:val="clear" w:pos="9638"/>
        <w:tab w:val="right" w:pos="10065"/>
      </w:tabs>
      <w:ind w:left="-284" w:right="-285"/>
      <w:jc w:val="center"/>
      <w:rPr>
        <w:rFonts w:ascii="Garamond" w:hAnsi="Garamond"/>
        <w:smallCaps/>
        <w:sz w:val="20"/>
        <w:szCs w:val="20"/>
      </w:rPr>
    </w:pPr>
    <w:r w:rsidRPr="008A26FE">
      <w:rPr>
        <w:rFonts w:ascii="Garamond" w:hAnsi="Garamond"/>
        <w:smallCaps/>
        <w:sz w:val="20"/>
        <w:szCs w:val="20"/>
      </w:rPr>
      <w:t>ALMA MATER STUDIORUM - UNIVERSIT</w:t>
    </w:r>
    <w:r w:rsidRPr="008A26FE">
      <w:rPr>
        <w:rFonts w:ascii="Garamond" w:eastAsia="Arial Unicode MS" w:hAnsi="Garamond"/>
        <w:smallCaps/>
        <w:sz w:val="20"/>
        <w:szCs w:val="20"/>
      </w:rPr>
      <w:t>À</w:t>
    </w:r>
    <w:r w:rsidRPr="008A26FE">
      <w:rPr>
        <w:rFonts w:ascii="Garamond" w:hAnsi="Garamond"/>
        <w:smallCaps/>
        <w:sz w:val="20"/>
        <w:szCs w:val="20"/>
      </w:rPr>
      <w:t xml:space="preserve"> DI BOLOGNA</w:t>
    </w:r>
  </w:p>
  <w:p w14:paraId="428A76E0" w14:textId="77777777" w:rsidR="005771B8" w:rsidRDefault="005771B8" w:rsidP="00CB5C37">
    <w:pPr>
      <w:pStyle w:val="Pidipagina"/>
      <w:tabs>
        <w:tab w:val="clear" w:pos="9638"/>
        <w:tab w:val="right" w:pos="10065"/>
      </w:tabs>
      <w:ind w:left="-284" w:right="-285"/>
      <w:jc w:val="center"/>
      <w:rPr>
        <w:rFonts w:ascii="Garamond" w:hAnsi="Garamond"/>
        <w:caps/>
        <w:sz w:val="16"/>
        <w:szCs w:val="16"/>
      </w:rPr>
    </w:pPr>
    <w:r>
      <w:rPr>
        <w:rFonts w:ascii="Garamond" w:hAnsi="Garamond"/>
        <w:caps/>
        <w:sz w:val="16"/>
        <w:szCs w:val="16"/>
      </w:rPr>
      <w:t>SEDE AMMINIS</w:t>
    </w:r>
    <w:r w:rsidR="00AD57B7">
      <w:rPr>
        <w:rFonts w:ascii="Garamond" w:hAnsi="Garamond"/>
        <w:caps/>
        <w:sz w:val="16"/>
        <w:szCs w:val="16"/>
      </w:rPr>
      <w:t>TRATIVA C/O AZIENDA OSPEDALIERO-</w:t>
    </w:r>
    <w:r>
      <w:rPr>
        <w:rFonts w:ascii="Garamond" w:hAnsi="Garamond"/>
        <w:caps/>
        <w:sz w:val="16"/>
        <w:szCs w:val="16"/>
      </w:rPr>
      <w:t>UNIVERSITARIA – POLICLINICO S. ORSOLA–MALPIGHI</w:t>
    </w:r>
  </w:p>
  <w:p w14:paraId="54FF4FE2" w14:textId="77777777" w:rsidR="00BE1C84" w:rsidRPr="00CB5C37" w:rsidRDefault="00BE1C84" w:rsidP="00CB5C37">
    <w:pPr>
      <w:pStyle w:val="Pidipagina"/>
      <w:tabs>
        <w:tab w:val="clear" w:pos="9638"/>
        <w:tab w:val="right" w:pos="10065"/>
      </w:tabs>
      <w:ind w:left="-284" w:right="-285"/>
      <w:jc w:val="center"/>
      <w:rPr>
        <w:szCs w:val="16"/>
      </w:rPr>
    </w:pPr>
    <w:r w:rsidRPr="008A26FE">
      <w:rPr>
        <w:rFonts w:ascii="Garamond" w:hAnsi="Garamond"/>
        <w:caps/>
        <w:sz w:val="16"/>
        <w:szCs w:val="16"/>
      </w:rPr>
      <w:t>Via</w:t>
    </w:r>
    <w:r>
      <w:rPr>
        <w:rFonts w:ascii="Garamond" w:hAnsi="Garamond"/>
        <w:caps/>
        <w:sz w:val="16"/>
        <w:szCs w:val="16"/>
      </w:rPr>
      <w:t xml:space="preserve"> </w:t>
    </w:r>
    <w:r w:rsidR="005771B8">
      <w:rPr>
        <w:rFonts w:ascii="Garamond" w:hAnsi="Garamond"/>
        <w:caps/>
        <w:sz w:val="16"/>
        <w:szCs w:val="16"/>
      </w:rPr>
      <w:t>MASSARENTI 9, PADIGLIONE 11</w:t>
    </w:r>
    <w:r w:rsidRPr="008A26FE">
      <w:rPr>
        <w:rFonts w:ascii="Garamond" w:hAnsi="Garamond"/>
        <w:caps/>
        <w:sz w:val="16"/>
        <w:szCs w:val="16"/>
      </w:rPr>
      <w:t xml:space="preserve"> </w:t>
    </w:r>
    <w:r w:rsidR="001D5749">
      <w:rPr>
        <w:rFonts w:ascii="Garamond" w:hAnsi="Garamond"/>
        <w:caps/>
        <w:sz w:val="16"/>
        <w:szCs w:val="16"/>
      </w:rPr>
      <w:t xml:space="preserve">- </w:t>
    </w:r>
    <w:r w:rsidR="001D5749" w:rsidRPr="008A26FE">
      <w:rPr>
        <w:rFonts w:ascii="Garamond" w:hAnsi="Garamond"/>
        <w:caps/>
        <w:sz w:val="16"/>
        <w:szCs w:val="16"/>
      </w:rPr>
      <w:t>401</w:t>
    </w:r>
    <w:r w:rsidR="001D5749">
      <w:rPr>
        <w:rFonts w:ascii="Garamond" w:hAnsi="Garamond"/>
        <w:caps/>
        <w:sz w:val="16"/>
        <w:szCs w:val="16"/>
      </w:rPr>
      <w:t xml:space="preserve">38 Bologna - Italia </w:t>
    </w:r>
    <w:r w:rsidR="00C05A72">
      <w:rPr>
        <w:rFonts w:ascii="Garamond" w:hAnsi="Garamond"/>
        <w:caps/>
        <w:sz w:val="16"/>
        <w:szCs w:val="16"/>
      </w:rPr>
      <w:t>–</w:t>
    </w:r>
    <w:r w:rsidRPr="008A26FE">
      <w:rPr>
        <w:rFonts w:ascii="Garamond" w:hAnsi="Garamond"/>
        <w:caps/>
        <w:sz w:val="16"/>
        <w:szCs w:val="16"/>
      </w:rPr>
      <w:t xml:space="preserve"> </w:t>
    </w:r>
    <w:hyperlink r:id="rId1" w:history="1">
      <w:r w:rsidR="00C05A72" w:rsidRPr="0017512C">
        <w:rPr>
          <w:rStyle w:val="Collegamentoipertestuale"/>
          <w:rFonts w:ascii="Garamond" w:hAnsi="Garamond"/>
          <w:sz w:val="20"/>
          <w:szCs w:val="20"/>
        </w:rPr>
        <w:t>dimec.dipartimento@pec.unibo.it</w:t>
      </w:r>
    </w:hyperlink>
    <w:r w:rsidR="00C05A72" w:rsidRPr="00C05A72">
      <w:rPr>
        <w:rFonts w:ascii="Garamond" w:hAnsi="Garamond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04CEB" w14:textId="77777777" w:rsidR="00A871DD" w:rsidRDefault="00A871DD">
      <w:r>
        <w:separator/>
      </w:r>
    </w:p>
  </w:footnote>
  <w:footnote w:type="continuationSeparator" w:id="0">
    <w:p w14:paraId="1A213AB8" w14:textId="77777777" w:rsidR="00A871DD" w:rsidRDefault="00A87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9A407" w14:textId="682A051D" w:rsidR="00BE1C84" w:rsidRDefault="0056632E" w:rsidP="002A0F0A">
    <w:pPr>
      <w:pStyle w:val="Intestazione"/>
      <w:jc w:val="center"/>
    </w:pPr>
    <w:r>
      <w:rPr>
        <w:noProof/>
      </w:rPr>
      <w:drawing>
        <wp:inline distT="0" distB="0" distL="0" distR="0" wp14:anchorId="6C880F6C" wp14:editId="1ED4E38B">
          <wp:extent cx="4057650" cy="1524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347DC"/>
    <w:multiLevelType w:val="singleLevel"/>
    <w:tmpl w:val="EB5228E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ED163CB"/>
    <w:multiLevelType w:val="hybridMultilevel"/>
    <w:tmpl w:val="8416BFD0"/>
    <w:lvl w:ilvl="0" w:tplc="2B384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44601A"/>
    <w:multiLevelType w:val="hybridMultilevel"/>
    <w:tmpl w:val="495A6C50"/>
    <w:lvl w:ilvl="0" w:tplc="349A685A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F848D2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CADA8916">
      <w:start w:val="4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7D8511B"/>
    <w:multiLevelType w:val="hybridMultilevel"/>
    <w:tmpl w:val="50680440"/>
    <w:lvl w:ilvl="0" w:tplc="6E6CB3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649CE"/>
    <w:multiLevelType w:val="hybridMultilevel"/>
    <w:tmpl w:val="495A6C50"/>
    <w:lvl w:ilvl="0" w:tplc="349A685A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F848D2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CADA8916">
      <w:start w:val="4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2C14CF1"/>
    <w:multiLevelType w:val="hybridMultilevel"/>
    <w:tmpl w:val="0068F3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C6730"/>
    <w:multiLevelType w:val="hybridMultilevel"/>
    <w:tmpl w:val="887EAD4E"/>
    <w:lvl w:ilvl="0" w:tplc="A13CFB76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8A06203"/>
    <w:multiLevelType w:val="hybridMultilevel"/>
    <w:tmpl w:val="33F83D28"/>
    <w:lvl w:ilvl="0" w:tplc="5E16CD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B2058"/>
    <w:multiLevelType w:val="hybridMultilevel"/>
    <w:tmpl w:val="E8F0DA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492921"/>
    <w:multiLevelType w:val="hybridMultilevel"/>
    <w:tmpl w:val="354AB89A"/>
    <w:lvl w:ilvl="0" w:tplc="03C84D0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773A9F"/>
    <w:multiLevelType w:val="hybridMultilevel"/>
    <w:tmpl w:val="CECE3EAC"/>
    <w:lvl w:ilvl="0" w:tplc="228A8898">
      <w:start w:val="2"/>
      <w:numFmt w:val="bullet"/>
      <w:lvlText w:val="-"/>
      <w:lvlJc w:val="left"/>
      <w:pPr>
        <w:tabs>
          <w:tab w:val="num" w:pos="1572"/>
        </w:tabs>
        <w:ind w:left="1572" w:hanging="864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C7F74DA"/>
    <w:multiLevelType w:val="hybridMultilevel"/>
    <w:tmpl w:val="57F488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7365808">
    <w:abstractNumId w:val="10"/>
  </w:num>
  <w:num w:numId="2" w16cid:durableId="1592617812">
    <w:abstractNumId w:val="3"/>
  </w:num>
  <w:num w:numId="3" w16cid:durableId="455804183">
    <w:abstractNumId w:val="0"/>
  </w:num>
  <w:num w:numId="4" w16cid:durableId="2019575442">
    <w:abstractNumId w:val="6"/>
  </w:num>
  <w:num w:numId="5" w16cid:durableId="1391925836">
    <w:abstractNumId w:val="1"/>
  </w:num>
  <w:num w:numId="6" w16cid:durableId="939293831">
    <w:abstractNumId w:val="5"/>
  </w:num>
  <w:num w:numId="7" w16cid:durableId="977951307">
    <w:abstractNumId w:val="8"/>
  </w:num>
  <w:num w:numId="8" w16cid:durableId="2010019773">
    <w:abstractNumId w:val="2"/>
  </w:num>
  <w:num w:numId="9" w16cid:durableId="61416218">
    <w:abstractNumId w:val="12"/>
  </w:num>
  <w:num w:numId="10" w16cid:durableId="1322808583">
    <w:abstractNumId w:val="11"/>
  </w:num>
  <w:num w:numId="11" w16cid:durableId="678046529">
    <w:abstractNumId w:val="9"/>
  </w:num>
  <w:num w:numId="12" w16cid:durableId="717896444">
    <w:abstractNumId w:val="4"/>
  </w:num>
  <w:num w:numId="13" w16cid:durableId="17399836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2630"/>
    <w:rsid w:val="0005379F"/>
    <w:rsid w:val="00054F9D"/>
    <w:rsid w:val="00056F8C"/>
    <w:rsid w:val="0005744F"/>
    <w:rsid w:val="00060F13"/>
    <w:rsid w:val="0006159F"/>
    <w:rsid w:val="000627C5"/>
    <w:rsid w:val="00062CD8"/>
    <w:rsid w:val="000638A4"/>
    <w:rsid w:val="00063CCE"/>
    <w:rsid w:val="0006451B"/>
    <w:rsid w:val="000649E3"/>
    <w:rsid w:val="00065195"/>
    <w:rsid w:val="00065DE4"/>
    <w:rsid w:val="00067DC5"/>
    <w:rsid w:val="00070B79"/>
    <w:rsid w:val="00071338"/>
    <w:rsid w:val="00072AEC"/>
    <w:rsid w:val="00072B7E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87DAB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5CCB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4A04"/>
    <w:rsid w:val="001250DC"/>
    <w:rsid w:val="00126819"/>
    <w:rsid w:val="00126A5B"/>
    <w:rsid w:val="00130867"/>
    <w:rsid w:val="0013129B"/>
    <w:rsid w:val="00131662"/>
    <w:rsid w:val="00132368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4CA7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5749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03AC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BC9"/>
    <w:rsid w:val="001F4D71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2917"/>
    <w:rsid w:val="00233968"/>
    <w:rsid w:val="00234849"/>
    <w:rsid w:val="00234B4A"/>
    <w:rsid w:val="00234E84"/>
    <w:rsid w:val="002352A9"/>
    <w:rsid w:val="00235C9F"/>
    <w:rsid w:val="002372C6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295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0D76"/>
    <w:rsid w:val="00261546"/>
    <w:rsid w:val="00261956"/>
    <w:rsid w:val="00263B5D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13F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228A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A7F88"/>
    <w:rsid w:val="002B0DB8"/>
    <w:rsid w:val="002B1CB9"/>
    <w:rsid w:val="002B2784"/>
    <w:rsid w:val="002B2E7B"/>
    <w:rsid w:val="002B3409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6FA4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540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153"/>
    <w:rsid w:val="002F3E6D"/>
    <w:rsid w:val="002F5C4C"/>
    <w:rsid w:val="002F6720"/>
    <w:rsid w:val="002F68AB"/>
    <w:rsid w:val="002F6DD5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020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6045"/>
    <w:rsid w:val="003362B5"/>
    <w:rsid w:val="00340C4F"/>
    <w:rsid w:val="00340FA7"/>
    <w:rsid w:val="003413E6"/>
    <w:rsid w:val="0034164E"/>
    <w:rsid w:val="00341677"/>
    <w:rsid w:val="00342D06"/>
    <w:rsid w:val="00343A82"/>
    <w:rsid w:val="003444BB"/>
    <w:rsid w:val="00344619"/>
    <w:rsid w:val="00344AD0"/>
    <w:rsid w:val="00345C82"/>
    <w:rsid w:val="00345DF7"/>
    <w:rsid w:val="00345E12"/>
    <w:rsid w:val="0034693D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1BF4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2B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579B0"/>
    <w:rsid w:val="00460601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52F"/>
    <w:rsid w:val="00484ED9"/>
    <w:rsid w:val="00484FF2"/>
    <w:rsid w:val="004868FB"/>
    <w:rsid w:val="00486C74"/>
    <w:rsid w:val="00487DC8"/>
    <w:rsid w:val="0049084C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F3B"/>
    <w:rsid w:val="004A2876"/>
    <w:rsid w:val="004A373F"/>
    <w:rsid w:val="004A3F47"/>
    <w:rsid w:val="004A5824"/>
    <w:rsid w:val="004A5CCA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48E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92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07027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43C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35B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32E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1B8"/>
    <w:rsid w:val="005773E5"/>
    <w:rsid w:val="005775D8"/>
    <w:rsid w:val="005817C4"/>
    <w:rsid w:val="00581C2B"/>
    <w:rsid w:val="00582422"/>
    <w:rsid w:val="00582B26"/>
    <w:rsid w:val="00582E16"/>
    <w:rsid w:val="0058343C"/>
    <w:rsid w:val="005837B9"/>
    <w:rsid w:val="0058463B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0880"/>
    <w:rsid w:val="005C15A3"/>
    <w:rsid w:val="005C230E"/>
    <w:rsid w:val="005C275A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C7E1A"/>
    <w:rsid w:val="005C7FC7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54F9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111C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691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541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B83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3AC"/>
    <w:rsid w:val="006B0841"/>
    <w:rsid w:val="006B0A14"/>
    <w:rsid w:val="006B16A2"/>
    <w:rsid w:val="006B2137"/>
    <w:rsid w:val="006B3D30"/>
    <w:rsid w:val="006B4797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3B78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432B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3FB"/>
    <w:rsid w:val="00725468"/>
    <w:rsid w:val="00725A59"/>
    <w:rsid w:val="0072607C"/>
    <w:rsid w:val="00726279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708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4719"/>
    <w:rsid w:val="007A5BAE"/>
    <w:rsid w:val="007A6197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5E99"/>
    <w:rsid w:val="007B6275"/>
    <w:rsid w:val="007B69B7"/>
    <w:rsid w:val="007B6CC5"/>
    <w:rsid w:val="007C016D"/>
    <w:rsid w:val="007C0E7B"/>
    <w:rsid w:val="007C26B9"/>
    <w:rsid w:val="007C2F59"/>
    <w:rsid w:val="007C30A4"/>
    <w:rsid w:val="007C31DF"/>
    <w:rsid w:val="007C33A9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3D0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3AE9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549"/>
    <w:rsid w:val="00826EE9"/>
    <w:rsid w:val="0082780F"/>
    <w:rsid w:val="00830E77"/>
    <w:rsid w:val="00831777"/>
    <w:rsid w:val="008327D4"/>
    <w:rsid w:val="00832C7B"/>
    <w:rsid w:val="00832D24"/>
    <w:rsid w:val="008335CA"/>
    <w:rsid w:val="008336C8"/>
    <w:rsid w:val="0083548E"/>
    <w:rsid w:val="0083559D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28C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98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795B"/>
    <w:rsid w:val="008F7FAD"/>
    <w:rsid w:val="00900339"/>
    <w:rsid w:val="00900959"/>
    <w:rsid w:val="00901323"/>
    <w:rsid w:val="009017EC"/>
    <w:rsid w:val="00901D60"/>
    <w:rsid w:val="00901E79"/>
    <w:rsid w:val="0090260F"/>
    <w:rsid w:val="00902B83"/>
    <w:rsid w:val="00903454"/>
    <w:rsid w:val="00903533"/>
    <w:rsid w:val="00903646"/>
    <w:rsid w:val="00904B23"/>
    <w:rsid w:val="00904E11"/>
    <w:rsid w:val="009052FC"/>
    <w:rsid w:val="00905780"/>
    <w:rsid w:val="0090631D"/>
    <w:rsid w:val="00906B90"/>
    <w:rsid w:val="00907380"/>
    <w:rsid w:val="009074A3"/>
    <w:rsid w:val="00907E8F"/>
    <w:rsid w:val="00910F01"/>
    <w:rsid w:val="009112D7"/>
    <w:rsid w:val="009119B9"/>
    <w:rsid w:val="009121EC"/>
    <w:rsid w:val="00912A88"/>
    <w:rsid w:val="0091390A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6BC"/>
    <w:rsid w:val="00921E55"/>
    <w:rsid w:val="00921E69"/>
    <w:rsid w:val="009232E5"/>
    <w:rsid w:val="00923DFD"/>
    <w:rsid w:val="00927D53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0C28"/>
    <w:rsid w:val="00941AAB"/>
    <w:rsid w:val="00941AB8"/>
    <w:rsid w:val="00942A92"/>
    <w:rsid w:val="009433E4"/>
    <w:rsid w:val="0094349B"/>
    <w:rsid w:val="00944C33"/>
    <w:rsid w:val="00944F91"/>
    <w:rsid w:val="00945AFC"/>
    <w:rsid w:val="0094618D"/>
    <w:rsid w:val="0094649C"/>
    <w:rsid w:val="00946A45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78"/>
    <w:rsid w:val="00961A90"/>
    <w:rsid w:val="00961AE9"/>
    <w:rsid w:val="0096214B"/>
    <w:rsid w:val="009635BD"/>
    <w:rsid w:val="009645B9"/>
    <w:rsid w:val="0096462D"/>
    <w:rsid w:val="00964643"/>
    <w:rsid w:val="00966611"/>
    <w:rsid w:val="00966D4A"/>
    <w:rsid w:val="0097002B"/>
    <w:rsid w:val="009703CA"/>
    <w:rsid w:val="00971C1C"/>
    <w:rsid w:val="00971E87"/>
    <w:rsid w:val="00973D79"/>
    <w:rsid w:val="0097487D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11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48A1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ABC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A66"/>
    <w:rsid w:val="009C0C96"/>
    <w:rsid w:val="009C0D36"/>
    <w:rsid w:val="009C2113"/>
    <w:rsid w:val="009C2326"/>
    <w:rsid w:val="009C3FD6"/>
    <w:rsid w:val="009C44D2"/>
    <w:rsid w:val="009C452C"/>
    <w:rsid w:val="009C5A28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55B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222"/>
    <w:rsid w:val="009E6E25"/>
    <w:rsid w:val="009E7041"/>
    <w:rsid w:val="009E7057"/>
    <w:rsid w:val="009E7C09"/>
    <w:rsid w:val="009E7FF0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31C4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AA8"/>
    <w:rsid w:val="00A42BCA"/>
    <w:rsid w:val="00A43848"/>
    <w:rsid w:val="00A438BB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4B21"/>
    <w:rsid w:val="00A56101"/>
    <w:rsid w:val="00A6180C"/>
    <w:rsid w:val="00A62172"/>
    <w:rsid w:val="00A62F83"/>
    <w:rsid w:val="00A632C6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871DD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2650"/>
    <w:rsid w:val="00AC35AC"/>
    <w:rsid w:val="00AC3E1F"/>
    <w:rsid w:val="00AC40EE"/>
    <w:rsid w:val="00AC41A2"/>
    <w:rsid w:val="00AC4216"/>
    <w:rsid w:val="00AC46A0"/>
    <w:rsid w:val="00AC49FF"/>
    <w:rsid w:val="00AC4BFB"/>
    <w:rsid w:val="00AC4F3B"/>
    <w:rsid w:val="00AC5E6C"/>
    <w:rsid w:val="00AC6F47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57B7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44C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4628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687A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3CF3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144A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6D3C"/>
    <w:rsid w:val="00B771FF"/>
    <w:rsid w:val="00B77826"/>
    <w:rsid w:val="00B77896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063"/>
    <w:rsid w:val="00B93152"/>
    <w:rsid w:val="00B9412F"/>
    <w:rsid w:val="00B945DF"/>
    <w:rsid w:val="00B94BC6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3CD0"/>
    <w:rsid w:val="00BA43FD"/>
    <w:rsid w:val="00BA4989"/>
    <w:rsid w:val="00BA6B13"/>
    <w:rsid w:val="00BA7797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29B"/>
    <w:rsid w:val="00BC0494"/>
    <w:rsid w:val="00BC0565"/>
    <w:rsid w:val="00BC0B60"/>
    <w:rsid w:val="00BC0E72"/>
    <w:rsid w:val="00BC14AE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5C0"/>
    <w:rsid w:val="00BD6B35"/>
    <w:rsid w:val="00BD7031"/>
    <w:rsid w:val="00BD7691"/>
    <w:rsid w:val="00BE04A1"/>
    <w:rsid w:val="00BE1C84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1B5D"/>
    <w:rsid w:val="00C04579"/>
    <w:rsid w:val="00C05A72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0A8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674"/>
    <w:rsid w:val="00C867D4"/>
    <w:rsid w:val="00C86964"/>
    <w:rsid w:val="00C87F65"/>
    <w:rsid w:val="00C9045B"/>
    <w:rsid w:val="00C90625"/>
    <w:rsid w:val="00C90C09"/>
    <w:rsid w:val="00C90E32"/>
    <w:rsid w:val="00C912D5"/>
    <w:rsid w:val="00C91506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62A"/>
    <w:rsid w:val="00CC2AF4"/>
    <w:rsid w:val="00CC347B"/>
    <w:rsid w:val="00CC4497"/>
    <w:rsid w:val="00CC4CBE"/>
    <w:rsid w:val="00CC600F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87E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667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054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0C0A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482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58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0CBD"/>
    <w:rsid w:val="00DD1059"/>
    <w:rsid w:val="00DD1095"/>
    <w:rsid w:val="00DD1290"/>
    <w:rsid w:val="00DD1315"/>
    <w:rsid w:val="00DD1471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277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525C"/>
    <w:rsid w:val="00DF5286"/>
    <w:rsid w:val="00DF567F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8CB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03B8"/>
    <w:rsid w:val="00E6107E"/>
    <w:rsid w:val="00E6228B"/>
    <w:rsid w:val="00E624A0"/>
    <w:rsid w:val="00E648A6"/>
    <w:rsid w:val="00E64A23"/>
    <w:rsid w:val="00E64A60"/>
    <w:rsid w:val="00E64B18"/>
    <w:rsid w:val="00E65989"/>
    <w:rsid w:val="00E65DF5"/>
    <w:rsid w:val="00E66A43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86FA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1958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5E29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66F4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391F"/>
    <w:rsid w:val="00F74A39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4EF3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E5A56"/>
    <w:rsid w:val="00FE7A88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0F6AFB"/>
  <w15:chartTrackingRefBased/>
  <w15:docId w15:val="{174F794B-8F89-40BD-AF86-8CD4EE39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C05A72"/>
    <w:rPr>
      <w:color w:val="0000FF"/>
      <w:u w:val="single"/>
    </w:rPr>
  </w:style>
  <w:style w:type="paragraph" w:customStyle="1" w:styleId="testoxRiferimento">
    <w:name w:val="testo (x Riferimento)"/>
    <w:basedOn w:val="Normale"/>
    <w:rsid w:val="00B14628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paragraph" w:customStyle="1" w:styleId="IN">
    <w:name w:val="IN"/>
    <w:rsid w:val="00B14628"/>
    <w:pPr>
      <w:spacing w:line="482" w:lineRule="exact"/>
      <w:jc w:val="both"/>
    </w:pPr>
    <w:rPr>
      <w:rFonts w:ascii="Courier" w:hAnsi="Courier"/>
      <w:sz w:val="24"/>
    </w:rPr>
  </w:style>
  <w:style w:type="paragraph" w:customStyle="1" w:styleId="a">
    <w:basedOn w:val="Normale"/>
    <w:next w:val="Corpotesto"/>
    <w:rsid w:val="00D0087E"/>
    <w:rPr>
      <w:szCs w:val="20"/>
    </w:rPr>
  </w:style>
  <w:style w:type="paragraph" w:styleId="Corpotesto">
    <w:name w:val="Body Text"/>
    <w:basedOn w:val="Normale"/>
    <w:link w:val="CorpotestoCarattere"/>
    <w:rsid w:val="00D0087E"/>
    <w:pPr>
      <w:spacing w:after="120"/>
    </w:pPr>
  </w:style>
  <w:style w:type="character" w:customStyle="1" w:styleId="CorpotestoCarattere">
    <w:name w:val="Corpo testo Carattere"/>
    <w:link w:val="Corpotesto"/>
    <w:rsid w:val="00D0087E"/>
    <w:rPr>
      <w:sz w:val="24"/>
      <w:szCs w:val="24"/>
    </w:rPr>
  </w:style>
  <w:style w:type="paragraph" w:styleId="Nessunaspaziatura">
    <w:name w:val="No Spacing"/>
    <w:uiPriority w:val="1"/>
    <w:qFormat/>
    <w:rsid w:val="002B3409"/>
    <w:rPr>
      <w:rFonts w:ascii="Calibri" w:eastAsia="Calibri" w:hAnsi="Calibri"/>
      <w:sz w:val="22"/>
      <w:szCs w:val="22"/>
      <w:lang w:eastAsia="en-US"/>
    </w:rPr>
  </w:style>
  <w:style w:type="character" w:styleId="Enfasicorsivo">
    <w:name w:val="Emphasis"/>
    <w:qFormat/>
    <w:rsid w:val="008F7FAD"/>
    <w:rPr>
      <w:i/>
      <w:iCs/>
    </w:rPr>
  </w:style>
  <w:style w:type="paragraph" w:styleId="NormaleWeb">
    <w:name w:val="Normal (Web)"/>
    <w:basedOn w:val="Normale"/>
    <w:uiPriority w:val="99"/>
    <w:unhideWhenUsed/>
    <w:rsid w:val="008F7FA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8F7FA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8F7FA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7FAD"/>
  </w:style>
  <w:style w:type="character" w:styleId="Rimandonotaapidipagina">
    <w:name w:val="footnote reference"/>
    <w:rsid w:val="008F7FAD"/>
    <w:rPr>
      <w:vertAlign w:val="superscript"/>
    </w:rPr>
  </w:style>
  <w:style w:type="character" w:styleId="Rimandocommento">
    <w:name w:val="annotation reference"/>
    <w:rsid w:val="0050092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0092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500928"/>
  </w:style>
  <w:style w:type="paragraph" w:styleId="Soggettocommento">
    <w:name w:val="annotation subject"/>
    <w:basedOn w:val="Testocommento"/>
    <w:next w:val="Testocommento"/>
    <w:link w:val="SoggettocommentoCarattere"/>
    <w:rsid w:val="00500928"/>
    <w:rPr>
      <w:b/>
      <w:bCs/>
    </w:rPr>
  </w:style>
  <w:style w:type="character" w:customStyle="1" w:styleId="SoggettocommentoCarattere">
    <w:name w:val="Soggetto commento Carattere"/>
    <w:link w:val="Soggettocommento"/>
    <w:rsid w:val="00500928"/>
    <w:rPr>
      <w:b/>
      <w:bCs/>
    </w:rPr>
  </w:style>
  <w:style w:type="character" w:styleId="Menzionenonrisolta">
    <w:name w:val="Unresolved Mention"/>
    <w:uiPriority w:val="99"/>
    <w:semiHidden/>
    <w:unhideWhenUsed/>
    <w:rsid w:val="00E308CB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23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mec.dipartimento@pec.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ARAG</vt:lpstr>
    </vt:vector>
  </TitlesOfParts>
  <Company>Università di Bologna</Company>
  <LinksUpToDate>false</LinksUpToDate>
  <CharactersWithSpaces>10498</CharactersWithSpaces>
  <SharedDoc>false</SharedDoc>
  <HLinks>
    <vt:vector size="12" baseType="variant">
      <vt:variant>
        <vt:i4>7929880</vt:i4>
      </vt:variant>
      <vt:variant>
        <vt:i4>0</vt:i4>
      </vt:variant>
      <vt:variant>
        <vt:i4>0</vt:i4>
      </vt:variant>
      <vt:variant>
        <vt:i4>5</vt:i4>
      </vt:variant>
      <vt:variant>
        <vt:lpwstr>https://www.aricweb.unibo.it/AssegniRicerca_Richieste/index.aspx</vt:lpwstr>
      </vt:variant>
      <vt:variant>
        <vt:lpwstr/>
      </vt:variant>
      <vt:variant>
        <vt:i4>4915313</vt:i4>
      </vt:variant>
      <vt:variant>
        <vt:i4>0</vt:i4>
      </vt:variant>
      <vt:variant>
        <vt:i4>0</vt:i4>
      </vt:variant>
      <vt:variant>
        <vt:i4>5</vt:i4>
      </vt:variant>
      <vt:variant>
        <vt:lpwstr>mailto:dimec.dipartimento@pec.unibo.it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ARAG</dc:title>
  <dc:subject/>
  <dc:creator>Administrator</dc:creator>
  <cp:keywords/>
  <cp:lastModifiedBy>Guido Di Dalmazi</cp:lastModifiedBy>
  <cp:revision>19</cp:revision>
  <cp:lastPrinted>2017-02-03T09:22:00Z</cp:lastPrinted>
  <dcterms:created xsi:type="dcterms:W3CDTF">2022-10-14T08:38:00Z</dcterms:created>
  <dcterms:modified xsi:type="dcterms:W3CDTF">2022-10-14T08:51:00Z</dcterms:modified>
</cp:coreProperties>
</file>